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382" w:rsidRDefault="00BD6382" w:rsidP="00BD6382">
      <w:pPr>
        <w:pStyle w:val="Body"/>
        <w:spacing w:line="360" w:lineRule="auto"/>
        <w:rPr>
          <w:rFonts w:ascii="Times New Roman"/>
          <w:b/>
          <w:bCs/>
        </w:rPr>
      </w:pPr>
      <w:r w:rsidRPr="00BD6382">
        <w:rPr>
          <w:rFonts w:ascii="Times New Roman"/>
          <w:b/>
          <w:bCs/>
        </w:rPr>
        <w:t>Exploring demographic influence</w:t>
      </w:r>
      <w:r>
        <w:rPr>
          <w:rFonts w:ascii="Times New Roman"/>
          <w:b/>
          <w:bCs/>
        </w:rPr>
        <w:t>s</w:t>
      </w:r>
      <w:r w:rsidRPr="00BD6382">
        <w:rPr>
          <w:rFonts w:ascii="Times New Roman"/>
          <w:b/>
          <w:bCs/>
        </w:rPr>
        <w:t xml:space="preserve"> </w:t>
      </w:r>
      <w:r>
        <w:rPr>
          <w:rFonts w:ascii="Times New Roman"/>
          <w:b/>
          <w:bCs/>
        </w:rPr>
        <w:t xml:space="preserve">on </w:t>
      </w:r>
      <w:r w:rsidRPr="00BD6382">
        <w:rPr>
          <w:rFonts w:ascii="Times New Roman"/>
          <w:b/>
          <w:bCs/>
        </w:rPr>
        <w:t xml:space="preserve">students' academic performance over a five-year </w:t>
      </w:r>
      <w:proofErr w:type="spellStart"/>
      <w:r w:rsidRPr="00BD6382">
        <w:rPr>
          <w:rFonts w:ascii="Times New Roman"/>
          <w:b/>
          <w:bCs/>
        </w:rPr>
        <w:t>programme</w:t>
      </w:r>
      <w:proofErr w:type="spellEnd"/>
    </w:p>
    <w:p w:rsidR="00BD6382" w:rsidRDefault="00BD6382" w:rsidP="00BD6382">
      <w:pPr>
        <w:pStyle w:val="Body"/>
        <w:spacing w:line="360" w:lineRule="auto"/>
        <w:rPr>
          <w:rFonts w:ascii="Times New Roman"/>
          <w:b/>
          <w:bCs/>
        </w:rPr>
      </w:pPr>
      <w:bookmarkStart w:id="0" w:name="_GoBack"/>
      <w:bookmarkEnd w:id="0"/>
    </w:p>
    <w:p w:rsidR="00D91F65" w:rsidRDefault="00C50C4E" w:rsidP="00BD6382">
      <w:pPr>
        <w:pStyle w:val="Body"/>
        <w:spacing w:line="360" w:lineRule="auto"/>
        <w:rPr>
          <w:rFonts w:ascii="Times New Roman" w:eastAsia="Times New Roman" w:hAnsi="Times New Roman" w:cs="Times New Roman"/>
          <w:b/>
          <w:bCs/>
        </w:rPr>
      </w:pPr>
      <w:r>
        <w:rPr>
          <w:rFonts w:ascii="Times New Roman"/>
          <w:b/>
          <w:bCs/>
        </w:rPr>
        <w:t>Abstract</w:t>
      </w:r>
    </w:p>
    <w:p w:rsidR="00D91F65" w:rsidRDefault="00D91F65" w:rsidP="00BD6382">
      <w:pPr>
        <w:pStyle w:val="Body"/>
        <w:spacing w:line="360" w:lineRule="auto"/>
        <w:rPr>
          <w:rFonts w:ascii="Times New Roman" w:eastAsia="Times New Roman" w:hAnsi="Times New Roman" w:cs="Times New Roman"/>
          <w:b/>
          <w:bCs/>
        </w:rPr>
      </w:pPr>
    </w:p>
    <w:p w:rsidR="00134236" w:rsidRDefault="00134236" w:rsidP="00BD6382">
      <w:pPr>
        <w:pStyle w:val="Body"/>
        <w:spacing w:line="360" w:lineRule="auto"/>
        <w:rPr>
          <w:rFonts w:ascii="Times New Roman"/>
        </w:rPr>
      </w:pPr>
      <w:r w:rsidRPr="00DB6576">
        <w:rPr>
          <w:rFonts w:ascii="Times New Roman" w:eastAsia="Times New Roman" w:hAnsi="Times New Roman" w:cs="Times New Roman"/>
          <w:bCs/>
        </w:rPr>
        <w:t>Introduction:</w:t>
      </w:r>
      <w:r>
        <w:rPr>
          <w:rFonts w:ascii="Times New Roman" w:eastAsia="Times New Roman" w:hAnsi="Times New Roman" w:cs="Times New Roman"/>
          <w:b/>
          <w:bCs/>
        </w:rPr>
        <w:t xml:space="preserve"> </w:t>
      </w:r>
      <w:r w:rsidR="00C50C4E">
        <w:rPr>
          <w:rFonts w:ascii="Times New Roman"/>
        </w:rPr>
        <w:t xml:space="preserve">This mixed-method interpretive study examines </w:t>
      </w:r>
      <w:r>
        <w:rPr>
          <w:rFonts w:ascii="Times New Roman"/>
        </w:rPr>
        <w:t>the influence of</w:t>
      </w:r>
      <w:r w:rsidR="00C50C4E">
        <w:rPr>
          <w:rFonts w:ascii="Times New Roman"/>
        </w:rPr>
        <w:t xml:space="preserve"> five demographic characteristics</w:t>
      </w:r>
      <w:r w:rsidR="008272A8">
        <w:rPr>
          <w:rFonts w:ascii="Times New Roman"/>
        </w:rPr>
        <w:t xml:space="preserve"> or factors</w:t>
      </w:r>
      <w:r w:rsidR="00C50C4E">
        <w:rPr>
          <w:rFonts w:ascii="Times New Roman"/>
        </w:rPr>
        <w:t xml:space="preserve"> on the academic achievements of a cohort of 202 students through a five-year medical degree </w:t>
      </w:r>
      <w:proofErr w:type="spellStart"/>
      <w:r w:rsidR="00C50C4E">
        <w:rPr>
          <w:rFonts w:ascii="Times New Roman"/>
        </w:rPr>
        <w:t>programme</w:t>
      </w:r>
      <w:proofErr w:type="spellEnd"/>
      <w:r w:rsidR="00C50C4E">
        <w:rPr>
          <w:rFonts w:ascii="Times New Roman"/>
        </w:rPr>
        <w:t xml:space="preserve">. </w:t>
      </w:r>
    </w:p>
    <w:p w:rsidR="00134236" w:rsidRDefault="00134236" w:rsidP="00BD6382">
      <w:pPr>
        <w:pStyle w:val="Body"/>
        <w:spacing w:line="360" w:lineRule="auto"/>
        <w:rPr>
          <w:rFonts w:ascii="Times New Roman"/>
        </w:rPr>
      </w:pPr>
    </w:p>
    <w:p w:rsidR="00D91F65" w:rsidRDefault="00134236" w:rsidP="00BD6382">
      <w:pPr>
        <w:pStyle w:val="Body"/>
        <w:spacing w:line="360" w:lineRule="auto"/>
        <w:rPr>
          <w:rFonts w:ascii="Times New Roman" w:eastAsia="Times New Roman" w:hAnsi="Times New Roman" w:cs="Times New Roman"/>
        </w:rPr>
      </w:pPr>
      <w:r>
        <w:rPr>
          <w:rFonts w:ascii="Times New Roman"/>
        </w:rPr>
        <w:t xml:space="preserve">Methodology: </w:t>
      </w:r>
      <w:r w:rsidR="00C50C4E">
        <w:rPr>
          <w:rFonts w:ascii="Times New Roman"/>
        </w:rPr>
        <w:t xml:space="preserve">A quantitative analysis was performed, </w:t>
      </w:r>
      <w:proofErr w:type="spellStart"/>
      <w:r w:rsidR="00C50C4E">
        <w:rPr>
          <w:rFonts w:ascii="Times New Roman"/>
        </w:rPr>
        <w:t>analysing</w:t>
      </w:r>
      <w:proofErr w:type="spellEnd"/>
      <w:r w:rsidR="00C50C4E">
        <w:rPr>
          <w:rFonts w:ascii="Times New Roman"/>
        </w:rPr>
        <w:t xml:space="preserve"> a series of 32 summative assessments according to racial grouping (as defined in South Africa), first language, sex, age at entry,</w:t>
      </w:r>
      <w:r>
        <w:rPr>
          <w:rFonts w:ascii="Times New Roman"/>
        </w:rPr>
        <w:t xml:space="preserve"> and </w:t>
      </w:r>
      <w:r w:rsidR="00C50C4E">
        <w:rPr>
          <w:rFonts w:ascii="Times New Roman"/>
        </w:rPr>
        <w:t>source of finance for study. During the cohort</w:t>
      </w:r>
      <w:r w:rsidR="00C50C4E">
        <w:rPr>
          <w:rFonts w:hAnsi="Times New Roman"/>
        </w:rPr>
        <w:t>’</w:t>
      </w:r>
      <w:r w:rsidR="00C50C4E">
        <w:rPr>
          <w:rFonts w:ascii="Times New Roman"/>
        </w:rPr>
        <w:t xml:space="preserve">s third year, </w:t>
      </w:r>
      <w:r w:rsidR="00605817">
        <w:rPr>
          <w:rFonts w:ascii="Times New Roman"/>
        </w:rPr>
        <w:t xml:space="preserve">interviews were conducted with </w:t>
      </w:r>
      <w:r w:rsidR="00C50C4E">
        <w:rPr>
          <w:rFonts w:ascii="Times New Roman"/>
        </w:rPr>
        <w:t xml:space="preserve">a stratified sample of 19 students </w:t>
      </w:r>
      <w:r w:rsidR="00605817">
        <w:rPr>
          <w:rFonts w:ascii="Times New Roman"/>
        </w:rPr>
        <w:t>plus</w:t>
      </w:r>
      <w:r w:rsidR="00C50C4E">
        <w:rPr>
          <w:rFonts w:ascii="Times New Roman"/>
        </w:rPr>
        <w:t xml:space="preserve"> six staff members, individually or in groups. Their opinions on these five </w:t>
      </w:r>
      <w:r w:rsidR="008272A8">
        <w:rPr>
          <w:rFonts w:ascii="Times New Roman"/>
        </w:rPr>
        <w:t>factors</w:t>
      </w:r>
      <w:r w:rsidR="00C50C4E">
        <w:rPr>
          <w:rFonts w:ascii="Times New Roman"/>
        </w:rPr>
        <w:t xml:space="preserve"> were elicited using, as stimuli for discussion, graphs showing the performance of a previous cohort.</w:t>
      </w:r>
    </w:p>
    <w:p w:rsidR="00D91F65" w:rsidRDefault="00D91F65" w:rsidP="00BD6382">
      <w:pPr>
        <w:pStyle w:val="Body"/>
        <w:spacing w:line="360" w:lineRule="auto"/>
        <w:rPr>
          <w:rFonts w:ascii="Times New Roman" w:eastAsia="Times New Roman" w:hAnsi="Times New Roman" w:cs="Times New Roman"/>
        </w:rPr>
      </w:pPr>
    </w:p>
    <w:p w:rsidR="00D91F65" w:rsidRDefault="00134236" w:rsidP="00BD6382">
      <w:pPr>
        <w:pStyle w:val="Body"/>
        <w:spacing w:line="360" w:lineRule="auto"/>
        <w:rPr>
          <w:rFonts w:ascii="Times New Roman" w:eastAsia="Times New Roman" w:hAnsi="Times New Roman" w:cs="Times New Roman"/>
        </w:rPr>
      </w:pPr>
      <w:r>
        <w:rPr>
          <w:rFonts w:ascii="Times New Roman"/>
        </w:rPr>
        <w:t xml:space="preserve">Results: </w:t>
      </w:r>
      <w:r w:rsidR="00C50C4E">
        <w:rPr>
          <w:rFonts w:ascii="Times New Roman"/>
        </w:rPr>
        <w:t>Quantitative analysis of assessment marks demonstrated statistical differences between groups of students when examined according to race, first language, or financial support,</w:t>
      </w:r>
      <w:r w:rsidR="003147C4">
        <w:rPr>
          <w:rFonts w:ascii="Times New Roman"/>
        </w:rPr>
        <w:t xml:space="preserve"> the differences being maintained over the full five years.</w:t>
      </w:r>
      <w:r w:rsidR="00C50C4E">
        <w:rPr>
          <w:rFonts w:ascii="Times New Roman"/>
        </w:rPr>
        <w:t xml:space="preserve"> </w:t>
      </w:r>
      <w:r w:rsidR="003147C4">
        <w:rPr>
          <w:rFonts w:ascii="Times New Roman"/>
        </w:rPr>
        <w:t>N</w:t>
      </w:r>
      <w:r w:rsidR="00C50C4E">
        <w:rPr>
          <w:rFonts w:ascii="Times New Roman"/>
        </w:rPr>
        <w:t>o</w:t>
      </w:r>
      <w:r w:rsidR="003147C4">
        <w:rPr>
          <w:rFonts w:ascii="Times New Roman"/>
        </w:rPr>
        <w:t xml:space="preserve"> significant differences were seen</w:t>
      </w:r>
      <w:r w:rsidR="00C50C4E">
        <w:rPr>
          <w:rFonts w:ascii="Times New Roman"/>
        </w:rPr>
        <w:t xml:space="preserve"> according to sex or age. Qualitative investigation revealed a number of opinions on, and explanations </w:t>
      </w:r>
      <w:r w:rsidR="008272A8">
        <w:rPr>
          <w:rFonts w:ascii="Times New Roman"/>
        </w:rPr>
        <w:t>o</w:t>
      </w:r>
      <w:r w:rsidR="00C50C4E">
        <w:rPr>
          <w:rFonts w:ascii="Times New Roman"/>
        </w:rPr>
        <w:t>f, the differences observed. Some respondents</w:t>
      </w:r>
      <w:r w:rsidR="00C50C4E">
        <w:rPr>
          <w:rFonts w:hAnsi="Times New Roman"/>
        </w:rPr>
        <w:t>’</w:t>
      </w:r>
      <w:r w:rsidR="00C50C4E">
        <w:rPr>
          <w:rFonts w:hAnsi="Times New Roman"/>
        </w:rPr>
        <w:t xml:space="preserve"> </w:t>
      </w:r>
      <w:r w:rsidR="00C50C4E">
        <w:rPr>
          <w:rFonts w:ascii="Times New Roman"/>
        </w:rPr>
        <w:t>comments and pro</w:t>
      </w:r>
      <w:r w:rsidR="008272A8">
        <w:rPr>
          <w:rFonts w:ascii="Times New Roman"/>
        </w:rPr>
        <w:t>pos</w:t>
      </w:r>
      <w:r w:rsidR="00C50C4E">
        <w:rPr>
          <w:rFonts w:ascii="Times New Roman"/>
        </w:rPr>
        <w:t xml:space="preserve">ed explanations </w:t>
      </w:r>
      <w:r w:rsidR="008272A8">
        <w:rPr>
          <w:rFonts w:ascii="Times New Roman"/>
        </w:rPr>
        <w:t>seem</w:t>
      </w:r>
      <w:r w:rsidR="00C50C4E">
        <w:rPr>
          <w:rFonts w:ascii="Times New Roman"/>
        </w:rPr>
        <w:t>e</w:t>
      </w:r>
      <w:r w:rsidR="008272A8">
        <w:rPr>
          <w:rFonts w:ascii="Times New Roman"/>
        </w:rPr>
        <w:t>d</w:t>
      </w:r>
      <w:r w:rsidR="00C50C4E">
        <w:rPr>
          <w:rFonts w:ascii="Times New Roman"/>
        </w:rPr>
        <w:t xml:space="preserve">, </w:t>
      </w:r>
      <w:r w:rsidR="006A50AC">
        <w:rPr>
          <w:rFonts w:ascii="Times New Roman"/>
        </w:rPr>
        <w:t>at</w:t>
      </w:r>
      <w:r w:rsidR="00C50C4E">
        <w:rPr>
          <w:rFonts w:ascii="Times New Roman"/>
        </w:rPr>
        <w:t xml:space="preserve"> first, counterintuitive, yet appropriate to the pertaining circumstances. </w:t>
      </w:r>
    </w:p>
    <w:p w:rsidR="00D91F65" w:rsidRDefault="00D91F65" w:rsidP="00BD6382">
      <w:pPr>
        <w:pStyle w:val="Body"/>
        <w:spacing w:line="360" w:lineRule="auto"/>
        <w:rPr>
          <w:rFonts w:ascii="Times New Roman" w:eastAsia="Times New Roman" w:hAnsi="Times New Roman" w:cs="Times New Roman"/>
        </w:rPr>
      </w:pPr>
    </w:p>
    <w:p w:rsidR="00D91F65" w:rsidRDefault="00C50C4E" w:rsidP="00BD6382">
      <w:pPr>
        <w:pStyle w:val="Body"/>
        <w:spacing w:line="360" w:lineRule="auto"/>
        <w:rPr>
          <w:rFonts w:ascii="Times New Roman" w:eastAsia="Times New Roman" w:hAnsi="Times New Roman" w:cs="Times New Roman"/>
        </w:rPr>
      </w:pPr>
      <w:r>
        <w:rPr>
          <w:rFonts w:ascii="Times New Roman"/>
        </w:rPr>
        <w:t>Conclusions:</w:t>
      </w:r>
      <w:r w:rsidR="00D179B2">
        <w:rPr>
          <w:rFonts w:ascii="Times New Roman"/>
        </w:rPr>
        <w:t xml:space="preserve"> </w:t>
      </w:r>
      <w:r>
        <w:rPr>
          <w:rFonts w:ascii="Times New Roman"/>
        </w:rPr>
        <w:t>This study has implications for academic development</w:t>
      </w:r>
      <w:r w:rsidR="008272A8">
        <w:rPr>
          <w:rFonts w:ascii="Times New Roman"/>
        </w:rPr>
        <w:t>,</w:t>
      </w:r>
      <w:r>
        <w:rPr>
          <w:rFonts w:ascii="Times New Roman"/>
        </w:rPr>
        <w:t xml:space="preserve"> and advances the literature on diversity</w:t>
      </w:r>
      <w:r w:rsidR="00552526">
        <w:rPr>
          <w:rFonts w:ascii="Times New Roman"/>
        </w:rPr>
        <w:t>,</w:t>
      </w:r>
      <w:r>
        <w:rPr>
          <w:rFonts w:ascii="Times New Roman"/>
        </w:rPr>
        <w:t xml:space="preserve"> and demographic f</w:t>
      </w:r>
      <w:r w:rsidR="008272A8">
        <w:rPr>
          <w:rFonts w:ascii="Times New Roman"/>
        </w:rPr>
        <w:t>actors</w:t>
      </w:r>
      <w:r>
        <w:rPr>
          <w:rFonts w:ascii="Times New Roman"/>
        </w:rPr>
        <w:t xml:space="preserve"> influencing student achievement, beyond mere statistics by exploring the details of students</w:t>
      </w:r>
      <w:r>
        <w:rPr>
          <w:rFonts w:hAnsi="Times New Roman"/>
        </w:rPr>
        <w:t>’</w:t>
      </w:r>
      <w:r>
        <w:rPr>
          <w:rFonts w:hAnsi="Times New Roman"/>
        </w:rPr>
        <w:t xml:space="preserve"> </w:t>
      </w:r>
      <w:r>
        <w:rPr>
          <w:rFonts w:ascii="Times New Roman"/>
        </w:rPr>
        <w:t>lives as they relate to the fa</w:t>
      </w:r>
      <w:r w:rsidR="008272A8">
        <w:rPr>
          <w:rFonts w:ascii="Times New Roman"/>
        </w:rPr>
        <w:t>c</w:t>
      </w:r>
      <w:r>
        <w:rPr>
          <w:rFonts w:ascii="Times New Roman"/>
        </w:rPr>
        <w:t>t</w:t>
      </w:r>
      <w:r w:rsidR="008272A8">
        <w:rPr>
          <w:rFonts w:ascii="Times New Roman"/>
        </w:rPr>
        <w:t>o</w:t>
      </w:r>
      <w:r>
        <w:rPr>
          <w:rFonts w:ascii="Times New Roman"/>
        </w:rPr>
        <w:t xml:space="preserve">rs investigated. </w:t>
      </w:r>
    </w:p>
    <w:p w:rsidR="00D91F65" w:rsidRDefault="00D91F65" w:rsidP="00BD6382">
      <w:pPr>
        <w:pStyle w:val="Body"/>
        <w:spacing w:line="360" w:lineRule="auto"/>
        <w:rPr>
          <w:rFonts w:ascii="Times New Roman" w:eastAsia="Times New Roman" w:hAnsi="Times New Roman" w:cs="Times New Roman"/>
        </w:rPr>
      </w:pPr>
    </w:p>
    <w:p w:rsidR="00D91F65" w:rsidRDefault="00C50C4E" w:rsidP="00BD6382">
      <w:pPr>
        <w:pStyle w:val="Body"/>
        <w:spacing w:line="360" w:lineRule="auto"/>
        <w:rPr>
          <w:rFonts w:ascii="Times New Roman" w:eastAsia="Times New Roman" w:hAnsi="Times New Roman" w:cs="Times New Roman"/>
        </w:rPr>
      </w:pPr>
      <w:r>
        <w:rPr>
          <w:rFonts w:ascii="Times New Roman"/>
          <w:b/>
          <w:bCs/>
        </w:rPr>
        <w:t xml:space="preserve">Keywords: </w:t>
      </w:r>
      <w:r>
        <w:rPr>
          <w:rFonts w:ascii="Times New Roman"/>
        </w:rPr>
        <w:t xml:space="preserve">Diversity, higher education, quantitative methods, qualitative methods, student race, language, </w:t>
      </w:r>
      <w:r w:rsidR="009565E7">
        <w:rPr>
          <w:rFonts w:ascii="Times New Roman"/>
        </w:rPr>
        <w:t xml:space="preserve">sex, age, </w:t>
      </w:r>
      <w:r>
        <w:rPr>
          <w:rFonts w:ascii="Times New Roman"/>
        </w:rPr>
        <w:t>finance.</w:t>
      </w:r>
    </w:p>
    <w:p w:rsidR="00D91F65" w:rsidRDefault="00D91F65" w:rsidP="00BD6382">
      <w:pPr>
        <w:pStyle w:val="Body"/>
        <w:spacing w:line="360" w:lineRule="auto"/>
        <w:rPr>
          <w:rFonts w:ascii="Times New Roman" w:eastAsia="Times New Roman" w:hAnsi="Times New Roman" w:cs="Times New Roman"/>
          <w:b/>
          <w:bCs/>
        </w:rPr>
      </w:pPr>
    </w:p>
    <w:p w:rsidR="00D91F65" w:rsidRDefault="00C50C4E" w:rsidP="00BD6382">
      <w:pPr>
        <w:pStyle w:val="Body"/>
        <w:spacing w:line="360" w:lineRule="auto"/>
      </w:pPr>
      <w:r>
        <w:rPr>
          <w:rFonts w:ascii="Times New Roman" w:eastAsia="Times New Roman" w:hAnsi="Times New Roman" w:cs="Times New Roman"/>
        </w:rPr>
        <w:br w:type="page"/>
      </w:r>
    </w:p>
    <w:p w:rsidR="00D91F65" w:rsidRDefault="00C50C4E" w:rsidP="00BD6382">
      <w:pPr>
        <w:pStyle w:val="Body"/>
        <w:spacing w:line="360" w:lineRule="auto"/>
        <w:rPr>
          <w:rFonts w:ascii="Times New Roman" w:eastAsia="Times New Roman" w:hAnsi="Times New Roman" w:cs="Times New Roman"/>
          <w:b/>
          <w:bCs/>
        </w:rPr>
      </w:pPr>
      <w:r>
        <w:rPr>
          <w:rFonts w:ascii="Times New Roman"/>
          <w:b/>
          <w:bCs/>
        </w:rPr>
        <w:lastRenderedPageBreak/>
        <w:t>Introduction</w:t>
      </w:r>
    </w:p>
    <w:p w:rsidR="00D91F65" w:rsidRPr="00AE7588" w:rsidRDefault="00BD6382" w:rsidP="00BD6382">
      <w:pPr>
        <w:pStyle w:val="Body"/>
        <w:spacing w:line="360" w:lineRule="auto"/>
        <w:ind w:left="709" w:right="332"/>
        <w:rPr>
          <w:rFonts w:ascii="Times New Roman" w:eastAsia="Times New Roman" w:hAnsi="Times New Roman" w:cs="Times New Roman"/>
        </w:rPr>
      </w:pPr>
      <w:r w:rsidRPr="00AE7588">
        <w:rPr>
          <w:rFonts w:ascii="Times New Roman" w:hAnsi="Times New Roman" w:cs="Times New Roman"/>
        </w:rPr>
        <w:t>“</w:t>
      </w:r>
      <w:r w:rsidR="00C50C4E" w:rsidRPr="00AE7588">
        <w:rPr>
          <w:rFonts w:ascii="Times New Roman" w:hAnsi="Times New Roman" w:cs="Times New Roman"/>
        </w:rPr>
        <w:t>Student success can never be guaranteed. However, if lecturers, students and administrators make the effort to develop a common understanding of the factors that contribute to students’ academic success, they will make important progress towards that important goal.</w:t>
      </w:r>
      <w:r w:rsidRPr="00AE7588">
        <w:rPr>
          <w:rFonts w:ascii="Times New Roman" w:hAnsi="Times New Roman" w:cs="Times New Roman"/>
        </w:rPr>
        <w:t>”</w:t>
      </w:r>
      <w:r w:rsidR="00C50C4E" w:rsidRPr="00AE7588">
        <w:rPr>
          <w:rFonts w:ascii="Times New Roman" w:hAnsi="Times New Roman" w:cs="Times New Roman"/>
        </w:rPr>
        <w:t xml:space="preserve"> </w:t>
      </w:r>
      <w:r w:rsidR="00C50C4E" w:rsidRPr="00AE7588">
        <w:rPr>
          <w:rFonts w:ascii="Times New Roman" w:hAnsi="Times New Roman" w:cs="Times New Roman"/>
          <w:lang w:val="nl-NL"/>
        </w:rPr>
        <w:t>(</w:t>
      </w:r>
      <w:r w:rsidR="00674D39">
        <w:rPr>
          <w:rFonts w:ascii="Times New Roman"/>
        </w:rPr>
        <w:t>Fraser &amp; Killen</w:t>
      </w:r>
      <w:r w:rsidR="00551CC7">
        <w:rPr>
          <w:rFonts w:ascii="Times New Roman"/>
        </w:rPr>
        <w:t xml:space="preserve"> 2005</w:t>
      </w:r>
      <w:r w:rsidR="00C50C4E" w:rsidRPr="00AE7588">
        <w:rPr>
          <w:rFonts w:ascii="Times New Roman" w:hAnsi="Times New Roman" w:cs="Times New Roman"/>
          <w:lang w:val="nl-NL"/>
        </w:rPr>
        <w:t>,</w:t>
      </w:r>
      <w:r w:rsidR="003E5160" w:rsidRPr="00AE7588">
        <w:rPr>
          <w:rFonts w:ascii="Times New Roman" w:hAnsi="Times New Roman" w:cs="Times New Roman"/>
          <w:lang w:val="nl-NL"/>
        </w:rPr>
        <w:t xml:space="preserve"> </w:t>
      </w:r>
      <w:r w:rsidR="0044397B" w:rsidRPr="00AE7588">
        <w:rPr>
          <w:rFonts w:ascii="Times New Roman" w:hAnsi="Times New Roman" w:cs="Times New Roman"/>
          <w:lang w:val="nl-NL"/>
        </w:rPr>
        <w:t>37</w:t>
      </w:r>
      <w:r w:rsidR="00C50C4E" w:rsidRPr="00AE7588">
        <w:rPr>
          <w:rFonts w:ascii="Times New Roman" w:hAnsi="Times New Roman" w:cs="Times New Roman"/>
          <w:lang w:val="nl-NL"/>
        </w:rPr>
        <w:t>)</w:t>
      </w:r>
      <w:r w:rsidR="00C50C4E" w:rsidRPr="00AE7588">
        <w:rPr>
          <w:rFonts w:ascii="Times New Roman" w:hAnsi="Times New Roman" w:cs="Times New Roman"/>
        </w:rPr>
        <w:t xml:space="preserve"> </w:t>
      </w:r>
    </w:p>
    <w:p w:rsidR="00D91F65" w:rsidRDefault="00D91F65" w:rsidP="00BD6382">
      <w:pPr>
        <w:pStyle w:val="Body"/>
        <w:spacing w:line="360" w:lineRule="auto"/>
        <w:ind w:left="709" w:right="332"/>
        <w:rPr>
          <w:rFonts w:ascii="Times New Roman" w:eastAsia="Times New Roman" w:hAnsi="Times New Roman" w:cs="Times New Roman"/>
        </w:rPr>
      </w:pPr>
    </w:p>
    <w:p w:rsidR="00D91F65" w:rsidRDefault="00C50C4E" w:rsidP="00BD6382">
      <w:pPr>
        <w:pStyle w:val="Body"/>
        <w:spacing w:line="360" w:lineRule="auto"/>
        <w:rPr>
          <w:rFonts w:ascii="Times New Roman" w:eastAsia="Times New Roman" w:hAnsi="Times New Roman" w:cs="Times New Roman"/>
        </w:rPr>
      </w:pPr>
      <w:r>
        <w:rPr>
          <w:rFonts w:ascii="Times New Roman"/>
        </w:rPr>
        <w:t>A number of studies of influences on</w:t>
      </w:r>
      <w:r w:rsidR="008272A8">
        <w:rPr>
          <w:rFonts w:ascii="Times New Roman"/>
        </w:rPr>
        <w:t xml:space="preserve"> various</w:t>
      </w:r>
      <w:r>
        <w:rPr>
          <w:rFonts w:ascii="Times New Roman"/>
        </w:rPr>
        <w:t xml:space="preserve"> academic success have been conducted (</w:t>
      </w:r>
      <w:proofErr w:type="spellStart"/>
      <w:r w:rsidR="00674D39">
        <w:rPr>
          <w:rFonts w:ascii="Times New Roman"/>
        </w:rPr>
        <w:t>Breier</w:t>
      </w:r>
      <w:proofErr w:type="spellEnd"/>
      <w:r w:rsidR="00674D39">
        <w:rPr>
          <w:rFonts w:ascii="Times New Roman"/>
        </w:rPr>
        <w:t xml:space="preserve"> &amp; </w:t>
      </w:r>
      <w:proofErr w:type="spellStart"/>
      <w:r w:rsidR="00674D39">
        <w:rPr>
          <w:rFonts w:ascii="Times New Roman"/>
        </w:rPr>
        <w:t>Wildschut</w:t>
      </w:r>
      <w:proofErr w:type="spellEnd"/>
      <w:r w:rsidR="00674D39">
        <w:rPr>
          <w:rFonts w:ascii="Times New Roman"/>
        </w:rPr>
        <w:t xml:space="preserve"> 2006; </w:t>
      </w:r>
      <w:r w:rsidR="00674D39">
        <w:rPr>
          <w:rFonts w:ascii="Times New Roman"/>
          <w:lang w:val="de-DE"/>
        </w:rPr>
        <w:t>Christie</w:t>
      </w:r>
      <w:r w:rsidR="00674D39">
        <w:rPr>
          <w:rFonts w:ascii="Times New Roman"/>
        </w:rPr>
        <w:t xml:space="preserve">, Butler &amp; </w:t>
      </w:r>
      <w:proofErr w:type="spellStart"/>
      <w:r w:rsidR="00674D39">
        <w:rPr>
          <w:rFonts w:ascii="Times New Roman"/>
        </w:rPr>
        <w:t>Potterton</w:t>
      </w:r>
      <w:proofErr w:type="spellEnd"/>
      <w:r w:rsidR="00674D39">
        <w:rPr>
          <w:rFonts w:ascii="Times New Roman"/>
        </w:rPr>
        <w:t xml:space="preserve"> 2007; </w:t>
      </w:r>
      <w:proofErr w:type="spellStart"/>
      <w:r w:rsidR="00674D39">
        <w:rPr>
          <w:rFonts w:ascii="Times New Roman"/>
        </w:rPr>
        <w:t>Fleisch</w:t>
      </w:r>
      <w:proofErr w:type="spellEnd"/>
      <w:r w:rsidR="00674D39">
        <w:rPr>
          <w:rFonts w:ascii="Times New Roman"/>
        </w:rPr>
        <w:t xml:space="preserve"> 2008; Leach &amp; Moon 2008; </w:t>
      </w:r>
      <w:proofErr w:type="spellStart"/>
      <w:r w:rsidR="00674D39">
        <w:rPr>
          <w:rFonts w:ascii="Times New Roman"/>
        </w:rPr>
        <w:t>Zeleza</w:t>
      </w:r>
      <w:proofErr w:type="spellEnd"/>
      <w:r w:rsidR="00674D39">
        <w:rPr>
          <w:rFonts w:ascii="Times New Roman"/>
        </w:rPr>
        <w:t xml:space="preserve"> &amp; </w:t>
      </w:r>
      <w:proofErr w:type="spellStart"/>
      <w:r w:rsidR="00674D39">
        <w:rPr>
          <w:rFonts w:ascii="Times New Roman"/>
        </w:rPr>
        <w:t>Olekoshi</w:t>
      </w:r>
      <w:proofErr w:type="spellEnd"/>
      <w:r w:rsidR="00674D39">
        <w:rPr>
          <w:rFonts w:ascii="Times New Roman"/>
        </w:rPr>
        <w:t xml:space="preserve"> 2004; Coleman 1966</w:t>
      </w:r>
      <w:r w:rsidR="00D179B2">
        <w:rPr>
          <w:rFonts w:ascii="Times New Roman"/>
        </w:rPr>
        <w:t>).</w:t>
      </w:r>
      <w:r>
        <w:rPr>
          <w:rFonts w:ascii="Times New Roman"/>
        </w:rPr>
        <w:t xml:space="preserve"> The effects of learners</w:t>
      </w:r>
      <w:r>
        <w:rPr>
          <w:rFonts w:hAnsi="Times New Roman"/>
        </w:rPr>
        <w:t>’</w:t>
      </w:r>
      <w:r>
        <w:rPr>
          <w:rFonts w:hAnsi="Times New Roman"/>
        </w:rPr>
        <w:t xml:space="preserve"> </w:t>
      </w:r>
      <w:r>
        <w:rPr>
          <w:rFonts w:ascii="Times New Roman"/>
        </w:rPr>
        <w:t>gender, age, ethnicity, language, culture, socioeconomic status and health, and of schools</w:t>
      </w:r>
      <w:r>
        <w:rPr>
          <w:rFonts w:hAnsi="Times New Roman"/>
        </w:rPr>
        <w:t>’</w:t>
      </w:r>
      <w:r>
        <w:rPr>
          <w:rFonts w:hAnsi="Times New Roman"/>
        </w:rPr>
        <w:t xml:space="preserve"> </w:t>
      </w:r>
      <w:r>
        <w:rPr>
          <w:rFonts w:ascii="Times New Roman"/>
        </w:rPr>
        <w:t>leadership, ethos, staffing and physical resources, have been noted over a span of years and a range of countries, from Coleman</w:t>
      </w:r>
      <w:r>
        <w:rPr>
          <w:rFonts w:hAnsi="Times New Roman"/>
        </w:rPr>
        <w:t>’</w:t>
      </w:r>
      <w:r>
        <w:rPr>
          <w:rFonts w:ascii="Times New Roman"/>
        </w:rPr>
        <w:t>s (</w:t>
      </w:r>
      <w:r w:rsidR="00551CC7">
        <w:rPr>
          <w:rFonts w:ascii="Times New Roman"/>
        </w:rPr>
        <w:t>1966</w:t>
      </w:r>
      <w:r w:rsidR="00D179B2">
        <w:rPr>
          <w:rFonts w:ascii="Times New Roman"/>
        </w:rPr>
        <w:t xml:space="preserve">) </w:t>
      </w:r>
      <w:r>
        <w:rPr>
          <w:rFonts w:ascii="Times New Roman"/>
        </w:rPr>
        <w:t>classic study</w:t>
      </w:r>
      <w:r w:rsidR="00832D4B">
        <w:rPr>
          <w:rFonts w:ascii="Times New Roman"/>
        </w:rPr>
        <w:t xml:space="preserve"> of school children</w:t>
      </w:r>
      <w:r>
        <w:rPr>
          <w:rFonts w:ascii="Times New Roman"/>
        </w:rPr>
        <w:t xml:space="preserve"> in the USA to a study by </w:t>
      </w:r>
      <w:proofErr w:type="spellStart"/>
      <w:r>
        <w:rPr>
          <w:rFonts w:ascii="Times New Roman"/>
        </w:rPr>
        <w:t>Kusurkar</w:t>
      </w:r>
      <w:proofErr w:type="spellEnd"/>
      <w:r>
        <w:rPr>
          <w:rFonts w:ascii="Times New Roman"/>
        </w:rPr>
        <w:t xml:space="preserve"> and others (</w:t>
      </w:r>
      <w:r w:rsidR="00551CC7">
        <w:rPr>
          <w:rFonts w:ascii="Times New Roman"/>
        </w:rPr>
        <w:t>2010</w:t>
      </w:r>
      <w:r w:rsidR="00D179B2">
        <w:rPr>
          <w:rFonts w:ascii="Times New Roman"/>
        </w:rPr>
        <w:t xml:space="preserve">) </w:t>
      </w:r>
      <w:r w:rsidR="00832D4B">
        <w:rPr>
          <w:rFonts w:ascii="Times New Roman"/>
        </w:rPr>
        <w:t>of medical students</w:t>
      </w:r>
      <w:r>
        <w:rPr>
          <w:rFonts w:ascii="Times New Roman"/>
        </w:rPr>
        <w:t xml:space="preserve"> in Holland.</w:t>
      </w:r>
    </w:p>
    <w:p w:rsidR="00D179B2" w:rsidRDefault="00605817" w:rsidP="00BD6382">
      <w:pPr>
        <w:pStyle w:val="Body"/>
        <w:spacing w:before="100" w:after="100" w:line="360" w:lineRule="auto"/>
        <w:ind w:firstLine="425"/>
        <w:rPr>
          <w:rFonts w:ascii="Times New Roman" w:eastAsia="Times New Roman" w:hAnsi="Times New Roman" w:cs="Times New Roman"/>
        </w:rPr>
      </w:pPr>
      <w:r>
        <w:rPr>
          <w:rFonts w:ascii="Times New Roman"/>
        </w:rPr>
        <w:t>Students</w:t>
      </w:r>
      <w:r>
        <w:rPr>
          <w:rFonts w:hAnsi="Times New Roman"/>
          <w:lang w:val="fr-FR"/>
        </w:rPr>
        <w:t>’</w:t>
      </w:r>
      <w:r>
        <w:rPr>
          <w:rFonts w:hAnsi="Times New Roman"/>
          <w:lang w:val="fr-FR"/>
        </w:rPr>
        <w:t xml:space="preserve"> </w:t>
      </w:r>
      <w:r>
        <w:rPr>
          <w:rFonts w:ascii="Times New Roman"/>
        </w:rPr>
        <w:t>academic achievements appear to be influenced by a</w:t>
      </w:r>
      <w:r w:rsidR="00D179B2">
        <w:rPr>
          <w:rFonts w:ascii="Times New Roman"/>
        </w:rPr>
        <w:t xml:space="preserve"> number of features. Fraser and Killen (</w:t>
      </w:r>
      <w:r w:rsidR="00551CC7">
        <w:rPr>
          <w:rFonts w:ascii="Times New Roman"/>
        </w:rPr>
        <w:t>2005</w:t>
      </w:r>
      <w:r w:rsidR="00D179B2">
        <w:rPr>
          <w:rFonts w:ascii="Times New Roman"/>
        </w:rPr>
        <w:t>) and</w:t>
      </w:r>
      <w:r>
        <w:rPr>
          <w:rFonts w:ascii="Times New Roman"/>
        </w:rPr>
        <w:t>, separately,</w:t>
      </w:r>
      <w:r w:rsidR="00D179B2">
        <w:rPr>
          <w:rFonts w:ascii="Times New Roman"/>
        </w:rPr>
        <w:t xml:space="preserve"> </w:t>
      </w:r>
      <w:proofErr w:type="spellStart"/>
      <w:r w:rsidR="00D179B2">
        <w:rPr>
          <w:rFonts w:ascii="Times New Roman"/>
        </w:rPr>
        <w:t>Ngidi</w:t>
      </w:r>
      <w:proofErr w:type="spellEnd"/>
      <w:r w:rsidR="00D179B2">
        <w:rPr>
          <w:rFonts w:ascii="Times New Roman"/>
        </w:rPr>
        <w:t xml:space="preserve"> (</w:t>
      </w:r>
      <w:r w:rsidR="00551CC7">
        <w:rPr>
          <w:rFonts w:ascii="Times New Roman"/>
        </w:rPr>
        <w:t>20</w:t>
      </w:r>
      <w:r w:rsidR="00832D4B">
        <w:rPr>
          <w:rFonts w:ascii="Times New Roman"/>
        </w:rPr>
        <w:t>0</w:t>
      </w:r>
      <w:r w:rsidR="00551CC7">
        <w:rPr>
          <w:rFonts w:ascii="Times New Roman"/>
        </w:rPr>
        <w:t>7</w:t>
      </w:r>
      <w:r w:rsidR="00D179B2">
        <w:rPr>
          <w:rFonts w:ascii="Times New Roman"/>
        </w:rPr>
        <w:t>) conducted</w:t>
      </w:r>
      <w:r>
        <w:rPr>
          <w:rFonts w:ascii="Times New Roman"/>
        </w:rPr>
        <w:t xml:space="preserve"> similar</w:t>
      </w:r>
      <w:r w:rsidR="00D179B2">
        <w:rPr>
          <w:rFonts w:ascii="Times New Roman"/>
        </w:rPr>
        <w:t xml:space="preserve"> studies at three </w:t>
      </w:r>
      <w:r w:rsidR="00CE6CBA">
        <w:rPr>
          <w:rFonts w:ascii="Times New Roman"/>
        </w:rPr>
        <w:t xml:space="preserve">universities in </w:t>
      </w:r>
      <w:r w:rsidR="00D179B2">
        <w:rPr>
          <w:rFonts w:ascii="Times New Roman"/>
        </w:rPr>
        <w:t xml:space="preserve">South Africa. They found some </w:t>
      </w:r>
      <w:r w:rsidR="00CE6CBA">
        <w:rPr>
          <w:rFonts w:ascii="Times New Roman"/>
        </w:rPr>
        <w:t xml:space="preserve">concordance </w:t>
      </w:r>
      <w:r w:rsidR="00D179B2">
        <w:rPr>
          <w:rFonts w:ascii="Times New Roman"/>
        </w:rPr>
        <w:t xml:space="preserve">between students and lecturers on factors that were </w:t>
      </w:r>
      <w:r w:rsidR="00832D4B">
        <w:rPr>
          <w:rFonts w:ascii="Times New Roman"/>
        </w:rPr>
        <w:t>perceived</w:t>
      </w:r>
      <w:r w:rsidR="00D179B2">
        <w:rPr>
          <w:rFonts w:ascii="Times New Roman"/>
        </w:rPr>
        <w:t xml:space="preserve"> to contribute to students</w:t>
      </w:r>
      <w:r w:rsidR="00D179B2">
        <w:rPr>
          <w:rFonts w:hAnsi="Times New Roman"/>
          <w:lang w:val="fr-FR"/>
        </w:rPr>
        <w:t>’</w:t>
      </w:r>
      <w:r w:rsidR="00D179B2">
        <w:rPr>
          <w:rFonts w:hAnsi="Times New Roman"/>
          <w:lang w:val="fr-FR"/>
        </w:rPr>
        <w:t xml:space="preserve"> </w:t>
      </w:r>
      <w:r w:rsidR="00D179B2">
        <w:rPr>
          <w:rFonts w:ascii="Times New Roman"/>
        </w:rPr>
        <w:t xml:space="preserve">academic success. At the two contact universities, aspects of motivation and application </w:t>
      </w:r>
      <w:r w:rsidR="009565E7">
        <w:rPr>
          <w:rFonts w:ascii="Times New Roman"/>
        </w:rPr>
        <w:t>constitut</w:t>
      </w:r>
      <w:r w:rsidR="00D179B2">
        <w:rPr>
          <w:rFonts w:ascii="Times New Roman"/>
        </w:rPr>
        <w:t>ed six of the top ten items identified by students and lecturers. General academic ability was ranked relatively low: students rated it 33</w:t>
      </w:r>
      <w:r w:rsidR="00D179B2">
        <w:rPr>
          <w:rFonts w:ascii="Times New Roman"/>
          <w:vertAlign w:val="superscript"/>
        </w:rPr>
        <w:t>rd</w:t>
      </w:r>
      <w:r w:rsidR="00D179B2">
        <w:rPr>
          <w:rFonts w:ascii="Times New Roman"/>
        </w:rPr>
        <w:t xml:space="preserve"> and lecturers 29</w:t>
      </w:r>
      <w:r w:rsidR="00D179B2">
        <w:rPr>
          <w:rFonts w:ascii="Times New Roman"/>
          <w:vertAlign w:val="superscript"/>
        </w:rPr>
        <w:t>th</w:t>
      </w:r>
      <w:r w:rsidR="00D179B2">
        <w:rPr>
          <w:rFonts w:ascii="Times New Roman"/>
        </w:rPr>
        <w:t xml:space="preserve"> of 34 items.</w:t>
      </w:r>
    </w:p>
    <w:p w:rsidR="00D179B2" w:rsidRDefault="00D179B2" w:rsidP="00BD6382">
      <w:pPr>
        <w:pStyle w:val="NormalT"/>
        <w:spacing w:before="100" w:after="100" w:line="360" w:lineRule="auto"/>
        <w:ind w:firstLine="426"/>
        <w:rPr>
          <w:rFonts w:ascii="Times New Roman" w:eastAsia="Times New Roman" w:hAnsi="Times New Roman" w:cs="Times New Roman"/>
        </w:rPr>
      </w:pPr>
      <w:r>
        <w:rPr>
          <w:rFonts w:ascii="Times New Roman"/>
        </w:rPr>
        <w:t>The authors of these two studies comment on the dis</w:t>
      </w:r>
      <w:r w:rsidR="00CE6CBA">
        <w:rPr>
          <w:rFonts w:ascii="Times New Roman"/>
        </w:rPr>
        <w:t>cordance</w:t>
      </w:r>
      <w:r>
        <w:rPr>
          <w:rFonts w:ascii="Times New Roman"/>
        </w:rPr>
        <w:t xml:space="preserve"> between </w:t>
      </w:r>
      <w:r w:rsidR="00CE6CBA">
        <w:rPr>
          <w:rFonts w:ascii="Times New Roman"/>
        </w:rPr>
        <w:t>students</w:t>
      </w:r>
      <w:r>
        <w:rPr>
          <w:rFonts w:ascii="Times New Roman"/>
        </w:rPr>
        <w:t xml:space="preserve"> and </w:t>
      </w:r>
      <w:r w:rsidR="00CE6CBA">
        <w:rPr>
          <w:rFonts w:ascii="Times New Roman"/>
        </w:rPr>
        <w:t>lecturers concerning contributors to</w:t>
      </w:r>
      <w:r>
        <w:rPr>
          <w:rFonts w:ascii="Times New Roman"/>
        </w:rPr>
        <w:t xml:space="preserve"> success or failure in higher education. We find it interesting that </w:t>
      </w:r>
      <w:r w:rsidR="00CE6CBA">
        <w:rPr>
          <w:rFonts w:ascii="Times New Roman"/>
        </w:rPr>
        <w:t>items</w:t>
      </w:r>
      <w:r>
        <w:rPr>
          <w:rFonts w:ascii="Times New Roman"/>
        </w:rPr>
        <w:t xml:space="preserve"> thought to be significant were</w:t>
      </w:r>
      <w:r w:rsidR="00CE6CBA">
        <w:rPr>
          <w:rFonts w:ascii="Times New Roman"/>
        </w:rPr>
        <w:t xml:space="preserve"> generally</w:t>
      </w:r>
      <w:r>
        <w:rPr>
          <w:rFonts w:ascii="Times New Roman"/>
        </w:rPr>
        <w:t xml:space="preserve"> not cognitive. This </w:t>
      </w:r>
      <w:r w:rsidR="00CE6CBA">
        <w:rPr>
          <w:rFonts w:ascii="Times New Roman"/>
        </w:rPr>
        <w:t>implies</w:t>
      </w:r>
      <w:r>
        <w:rPr>
          <w:rFonts w:ascii="Times New Roman"/>
        </w:rPr>
        <w:t xml:space="preserve"> that students</w:t>
      </w:r>
      <w:r>
        <w:rPr>
          <w:rFonts w:hAnsi="Times New Roman"/>
        </w:rPr>
        <w:t>’</w:t>
      </w:r>
      <w:r>
        <w:rPr>
          <w:rFonts w:hAnsi="Times New Roman"/>
        </w:rPr>
        <w:t xml:space="preserve"> </w:t>
      </w:r>
      <w:r>
        <w:rPr>
          <w:rFonts w:ascii="Times New Roman"/>
        </w:rPr>
        <w:t xml:space="preserve">backgrounds may be important with regard to their engagement in higher education, and thus their academic achievement. </w:t>
      </w:r>
    </w:p>
    <w:p w:rsidR="00D91F65" w:rsidRDefault="00C50C4E" w:rsidP="00BD6382">
      <w:pPr>
        <w:pStyle w:val="Body"/>
        <w:spacing w:line="360" w:lineRule="auto"/>
        <w:ind w:firstLine="426"/>
        <w:rPr>
          <w:rFonts w:ascii="Times New Roman"/>
        </w:rPr>
      </w:pPr>
      <w:r>
        <w:rPr>
          <w:rFonts w:ascii="Times New Roman"/>
        </w:rPr>
        <w:t xml:space="preserve">The purpose of this study was to explore </w:t>
      </w:r>
      <w:r w:rsidR="0043184F">
        <w:rPr>
          <w:rFonts w:ascii="Times New Roman"/>
        </w:rPr>
        <w:t>the magnitude and extent over time of non-</w:t>
      </w:r>
      <w:r w:rsidR="0043184F" w:rsidRPr="00AE7588">
        <w:rPr>
          <w:rFonts w:ascii="Times New Roman" w:hAnsi="Times New Roman" w:cs="Times New Roman"/>
        </w:rPr>
        <w:t>cognitive</w:t>
      </w:r>
      <w:r w:rsidRPr="00AE7588">
        <w:rPr>
          <w:rFonts w:ascii="Times New Roman" w:hAnsi="Times New Roman" w:cs="Times New Roman"/>
        </w:rPr>
        <w:t xml:space="preserve"> demographic characteristics that may be influential</w:t>
      </w:r>
      <w:r w:rsidR="009565E7">
        <w:rPr>
          <w:rFonts w:ascii="Times New Roman" w:hAnsi="Times New Roman" w:cs="Times New Roman"/>
        </w:rPr>
        <w:t>, as well as</w:t>
      </w:r>
      <w:r w:rsidR="0043184F" w:rsidRPr="00AE7588">
        <w:rPr>
          <w:rFonts w:ascii="Times New Roman" w:hAnsi="Times New Roman" w:cs="Times New Roman"/>
        </w:rPr>
        <w:t xml:space="preserve"> the nature of those influences</w:t>
      </w:r>
      <w:r w:rsidR="009565E7">
        <w:rPr>
          <w:rFonts w:ascii="Times New Roman" w:hAnsi="Times New Roman" w:cs="Times New Roman"/>
        </w:rPr>
        <w:t>,</w:t>
      </w:r>
      <w:r w:rsidR="0043184F" w:rsidRPr="00AE7588">
        <w:rPr>
          <w:rFonts w:ascii="Times New Roman" w:hAnsi="Times New Roman" w:cs="Times New Roman"/>
        </w:rPr>
        <w:t xml:space="preserve"> </w:t>
      </w:r>
      <w:r w:rsidRPr="00AE7588">
        <w:rPr>
          <w:rFonts w:ascii="Times New Roman" w:hAnsi="Times New Roman" w:cs="Times New Roman"/>
        </w:rPr>
        <w:t xml:space="preserve">in the academic progress of medical undergraduates. </w:t>
      </w:r>
      <w:r w:rsidR="00E644A7" w:rsidRPr="00AE7588">
        <w:rPr>
          <w:rFonts w:ascii="Times New Roman" w:hAnsi="Times New Roman" w:cs="Times New Roman"/>
        </w:rPr>
        <w:t>As our theoretical framework, w</w:t>
      </w:r>
      <w:r w:rsidR="0000344B" w:rsidRPr="00AE7588">
        <w:rPr>
          <w:rFonts w:ascii="Times New Roman" w:hAnsi="Times New Roman" w:cs="Times New Roman"/>
        </w:rPr>
        <w:t>e have</w:t>
      </w:r>
      <w:r w:rsidRPr="00AE7588">
        <w:rPr>
          <w:rFonts w:ascii="Times New Roman" w:hAnsi="Times New Roman" w:cs="Times New Roman"/>
        </w:rPr>
        <w:t xml:space="preserve"> </w:t>
      </w:r>
      <w:r w:rsidRPr="006A50AC">
        <w:rPr>
          <w:rFonts w:ascii="Times New Roman" w:hAnsi="Times New Roman" w:cs="Times New Roman"/>
        </w:rPr>
        <w:t xml:space="preserve">regarded </w:t>
      </w:r>
      <w:r w:rsidRPr="00AE7588">
        <w:rPr>
          <w:rFonts w:ascii="Times New Roman" w:hAnsi="Times New Roman" w:cs="Times New Roman"/>
        </w:rPr>
        <w:t>these demographics as one part of the forces (biographical,</w:t>
      </w:r>
      <w:r>
        <w:rPr>
          <w:rFonts w:ascii="Times New Roman"/>
        </w:rPr>
        <w:t xml:space="preserve"> contextual, institutional, programmatic) acting on the developing professional (</w:t>
      </w:r>
      <w:r w:rsidR="00551CC7">
        <w:rPr>
          <w:rFonts w:ascii="Times New Roman"/>
        </w:rPr>
        <w:t>Samuel 2008</w:t>
      </w:r>
      <w:r w:rsidR="00832D4B">
        <w:rPr>
          <w:rFonts w:ascii="Times New Roman"/>
        </w:rPr>
        <w:t>)</w:t>
      </w:r>
      <w:r>
        <w:rPr>
          <w:rFonts w:ascii="Times New Roman"/>
        </w:rPr>
        <w:t xml:space="preserve">. </w:t>
      </w:r>
      <w:r w:rsidR="00E644A7">
        <w:rPr>
          <w:rFonts w:ascii="Times New Roman"/>
        </w:rPr>
        <w:t>W</w:t>
      </w:r>
      <w:r>
        <w:rPr>
          <w:rFonts w:ascii="Times New Roman"/>
        </w:rPr>
        <w:t xml:space="preserve">e are aware of the changes in perceptions and the broadening and increasing inclusivity developing elsewhere in higher education </w:t>
      </w:r>
      <w:r w:rsidR="00D179B2">
        <w:rPr>
          <w:rFonts w:ascii="Times New Roman"/>
        </w:rPr>
        <w:t>(</w:t>
      </w:r>
      <w:proofErr w:type="spellStart"/>
      <w:r w:rsidR="00551CC7">
        <w:rPr>
          <w:rFonts w:ascii="Times New Roman"/>
        </w:rPr>
        <w:t>Berrey</w:t>
      </w:r>
      <w:proofErr w:type="spellEnd"/>
      <w:r w:rsidR="00551CC7">
        <w:rPr>
          <w:rFonts w:ascii="Times New Roman"/>
        </w:rPr>
        <w:t xml:space="preserve"> </w:t>
      </w:r>
      <w:r w:rsidR="0000344B">
        <w:rPr>
          <w:rFonts w:ascii="Times New Roman"/>
        </w:rPr>
        <w:t>2</w:t>
      </w:r>
      <w:r w:rsidR="00551CC7">
        <w:rPr>
          <w:rFonts w:ascii="Times New Roman"/>
        </w:rPr>
        <w:t>011; David 2007</w:t>
      </w:r>
      <w:r>
        <w:rPr>
          <w:rFonts w:ascii="Times New Roman"/>
        </w:rPr>
        <w:t>)</w:t>
      </w:r>
      <w:r w:rsidR="003147C4">
        <w:rPr>
          <w:rFonts w:ascii="Times New Roman"/>
        </w:rPr>
        <w:t xml:space="preserve">. These widespread developments provide </w:t>
      </w:r>
      <w:r w:rsidR="00304B07">
        <w:rPr>
          <w:rFonts w:ascii="Times New Roman"/>
        </w:rPr>
        <w:t>a broader</w:t>
      </w:r>
      <w:r w:rsidR="003147C4">
        <w:rPr>
          <w:rFonts w:ascii="Times New Roman"/>
        </w:rPr>
        <w:t xml:space="preserve"> </w:t>
      </w:r>
      <w:r w:rsidR="00304B07">
        <w:rPr>
          <w:rFonts w:ascii="Times New Roman"/>
        </w:rPr>
        <w:t xml:space="preserve">context </w:t>
      </w:r>
      <w:r w:rsidR="003147C4">
        <w:rPr>
          <w:rFonts w:ascii="Times New Roman"/>
        </w:rPr>
        <w:t>f</w:t>
      </w:r>
      <w:r w:rsidR="00304B07">
        <w:rPr>
          <w:rFonts w:ascii="Times New Roman"/>
        </w:rPr>
        <w:t>or</w:t>
      </w:r>
      <w:r w:rsidR="003147C4">
        <w:rPr>
          <w:rFonts w:ascii="Times New Roman"/>
        </w:rPr>
        <w:t xml:space="preserve"> this study beyond the</w:t>
      </w:r>
      <w:r>
        <w:rPr>
          <w:rFonts w:ascii="Times New Roman"/>
        </w:rPr>
        <w:t xml:space="preserve"> problematic nature of </w:t>
      </w:r>
      <w:r w:rsidR="003147C4">
        <w:rPr>
          <w:rFonts w:ascii="Times New Roman"/>
        </w:rPr>
        <w:t>diversity</w:t>
      </w:r>
      <w:r>
        <w:rPr>
          <w:rFonts w:ascii="Times New Roman"/>
        </w:rPr>
        <w:t xml:space="preserve"> in the South </w:t>
      </w:r>
      <w:r>
        <w:rPr>
          <w:rFonts w:ascii="Times New Roman"/>
        </w:rPr>
        <w:lastRenderedPageBreak/>
        <w:t>African</w:t>
      </w:r>
      <w:r w:rsidR="00304B07">
        <w:rPr>
          <w:rFonts w:ascii="Times New Roman"/>
        </w:rPr>
        <w:t xml:space="preserve"> setting</w:t>
      </w:r>
      <w:r>
        <w:rPr>
          <w:rFonts w:ascii="Times New Roman"/>
        </w:rPr>
        <w:t xml:space="preserve"> (</w:t>
      </w:r>
      <w:r w:rsidR="00551CC7">
        <w:rPr>
          <w:rFonts w:ascii="Times New Roman"/>
        </w:rPr>
        <w:t>Cross 200</w:t>
      </w:r>
      <w:r w:rsidR="0000344B">
        <w:rPr>
          <w:rFonts w:ascii="Times New Roman"/>
        </w:rPr>
        <w:t>4</w:t>
      </w:r>
      <w:r>
        <w:rPr>
          <w:rFonts w:ascii="Times New Roman"/>
        </w:rPr>
        <w:t xml:space="preserve">). </w:t>
      </w:r>
      <w:r w:rsidR="00551CC7">
        <w:rPr>
          <w:rFonts w:ascii="Times New Roman"/>
        </w:rPr>
        <w:t>S</w:t>
      </w:r>
      <w:r>
        <w:rPr>
          <w:rFonts w:ascii="Times New Roman"/>
        </w:rPr>
        <w:t xml:space="preserve">ome of the advantages of deliberately engineered diversity amongst learning groups </w:t>
      </w:r>
      <w:r w:rsidR="00551CC7">
        <w:rPr>
          <w:rFonts w:ascii="Times New Roman"/>
        </w:rPr>
        <w:t xml:space="preserve">have been described previously </w:t>
      </w:r>
      <w:r>
        <w:rPr>
          <w:rFonts w:ascii="Times New Roman"/>
        </w:rPr>
        <w:t>(</w:t>
      </w:r>
      <w:r w:rsidR="00551CC7">
        <w:rPr>
          <w:rFonts w:ascii="Times New Roman"/>
          <w:lang w:val="pt-PT"/>
        </w:rPr>
        <w:t>Singaram, Sommerville</w:t>
      </w:r>
      <w:r w:rsidR="00551CC7">
        <w:rPr>
          <w:rFonts w:ascii="Times New Roman"/>
          <w:lang w:val="nl-NL"/>
        </w:rPr>
        <w:t>, van der Vleuten</w:t>
      </w:r>
      <w:r w:rsidR="00551CC7">
        <w:rPr>
          <w:rFonts w:ascii="Times New Roman"/>
        </w:rPr>
        <w:t xml:space="preserve"> &amp; Dolmans 201</w:t>
      </w:r>
      <w:r w:rsidR="00D179B2">
        <w:rPr>
          <w:rFonts w:ascii="Times New Roman"/>
        </w:rPr>
        <w:t>1)</w:t>
      </w:r>
      <w:r>
        <w:rPr>
          <w:rFonts w:ascii="Times New Roman"/>
        </w:rPr>
        <w:t>. In this article we wish to explore individual components of that diversity. We investigate the four characteristics (race, language</w:t>
      </w:r>
      <w:r w:rsidR="009565E7">
        <w:rPr>
          <w:rFonts w:ascii="Times New Roman"/>
        </w:rPr>
        <w:t>,</w:t>
      </w:r>
      <w:r w:rsidR="009565E7" w:rsidRPr="009565E7">
        <w:rPr>
          <w:rFonts w:ascii="Times New Roman"/>
        </w:rPr>
        <w:t xml:space="preserve"> </w:t>
      </w:r>
      <w:r w:rsidR="009565E7">
        <w:rPr>
          <w:rFonts w:ascii="Times New Roman"/>
        </w:rPr>
        <w:t>sex, age</w:t>
      </w:r>
      <w:r>
        <w:rPr>
          <w:rFonts w:ascii="Times New Roman"/>
        </w:rPr>
        <w:t xml:space="preserve">) according to which students in the learning groups were mixed, plus that of financial support, </w:t>
      </w:r>
      <w:r w:rsidRPr="00AE7588">
        <w:rPr>
          <w:rFonts w:ascii="Times New Roman" w:hAnsi="Times New Roman" w:cs="Times New Roman"/>
        </w:rPr>
        <w:t>which is seen as a significant influence on education in South Africa at present.</w:t>
      </w:r>
      <w:r w:rsidR="00F02E10" w:rsidRPr="00AE7588">
        <w:rPr>
          <w:rFonts w:ascii="Times New Roman" w:hAnsi="Times New Roman" w:cs="Times New Roman"/>
        </w:rPr>
        <w:t xml:space="preserve"> </w:t>
      </w:r>
      <w:r w:rsidR="00304B07" w:rsidRPr="00AE7588">
        <w:rPr>
          <w:rFonts w:ascii="Times New Roman" w:hAnsi="Times New Roman" w:cs="Times New Roman"/>
        </w:rPr>
        <w:t>Rather than examine students’ academic achieveme</w:t>
      </w:r>
      <w:r w:rsidR="00E644A7" w:rsidRPr="00AE7588">
        <w:rPr>
          <w:rFonts w:ascii="Times New Roman" w:hAnsi="Times New Roman" w:cs="Times New Roman"/>
        </w:rPr>
        <w:t>nts in</w:t>
      </w:r>
      <w:r w:rsidR="00304B07" w:rsidRPr="00AE7588">
        <w:rPr>
          <w:rFonts w:ascii="Times New Roman" w:hAnsi="Times New Roman" w:cs="Times New Roman"/>
        </w:rPr>
        <w:t xml:space="preserve"> a single snapshot at one point, we have traced their course over the whole of their undergraduate career</w:t>
      </w:r>
      <w:r w:rsidR="00B46D66">
        <w:rPr>
          <w:rFonts w:ascii="Times New Roman" w:hAnsi="Times New Roman" w:cs="Times New Roman"/>
        </w:rPr>
        <w:t>s</w:t>
      </w:r>
      <w:r w:rsidR="00304B07" w:rsidRPr="00AE7588">
        <w:rPr>
          <w:rFonts w:ascii="Times New Roman" w:hAnsi="Times New Roman" w:cs="Times New Roman"/>
        </w:rPr>
        <w:t>, enabling us to chart possible changes</w:t>
      </w:r>
      <w:r w:rsidR="00304B07">
        <w:rPr>
          <w:rFonts w:ascii="Times New Roman"/>
        </w:rPr>
        <w:t xml:space="preserve"> in relationships over time.</w:t>
      </w:r>
      <w:r w:rsidR="0043184F">
        <w:rPr>
          <w:rFonts w:ascii="Times New Roman"/>
        </w:rPr>
        <w:t xml:space="preserve"> We hope thereby to provide a better understanding of wh</w:t>
      </w:r>
      <w:r w:rsidR="00B46D66">
        <w:rPr>
          <w:rFonts w:ascii="Times New Roman"/>
        </w:rPr>
        <w:t>ich</w:t>
      </w:r>
      <w:r w:rsidR="0043184F">
        <w:rPr>
          <w:rFonts w:ascii="Times New Roman"/>
        </w:rPr>
        <w:t xml:space="preserve"> demographic characteristics</w:t>
      </w:r>
      <w:r w:rsidR="00B46D66">
        <w:rPr>
          <w:rFonts w:ascii="Times New Roman"/>
        </w:rPr>
        <w:t>, in a highly selected tertiary student population,</w:t>
      </w:r>
      <w:r w:rsidR="0043184F">
        <w:rPr>
          <w:rFonts w:ascii="Times New Roman"/>
        </w:rPr>
        <w:t xml:space="preserve"> may be advantageous or disadvantageous, and why.</w:t>
      </w:r>
    </w:p>
    <w:p w:rsidR="00F02E10" w:rsidRDefault="00F02E10" w:rsidP="00BD6382">
      <w:pPr>
        <w:pStyle w:val="Body"/>
        <w:spacing w:line="360" w:lineRule="auto"/>
        <w:ind w:firstLine="426"/>
        <w:rPr>
          <w:rFonts w:ascii="Times New Roman" w:eastAsia="Times New Roman" w:hAnsi="Times New Roman" w:cs="Times New Roman"/>
        </w:rPr>
      </w:pPr>
    </w:p>
    <w:p w:rsidR="00D91F65" w:rsidRDefault="00C50C4E" w:rsidP="00BD6382">
      <w:pPr>
        <w:pStyle w:val="Body"/>
        <w:spacing w:line="360" w:lineRule="auto"/>
        <w:ind w:firstLine="426"/>
        <w:rPr>
          <w:rFonts w:ascii="Times New Roman" w:eastAsia="Times New Roman" w:hAnsi="Times New Roman" w:cs="Times New Roman"/>
        </w:rPr>
      </w:pPr>
      <w:r>
        <w:rPr>
          <w:rFonts w:ascii="Times New Roman"/>
        </w:rPr>
        <w:t>The literature on demographic factors that may influence academic achievement</w:t>
      </w:r>
      <w:r w:rsidR="00475413">
        <w:rPr>
          <w:rFonts w:ascii="Times New Roman"/>
        </w:rPr>
        <w:t xml:space="preserve"> is based largely on school populations, and relies chiefly on single cross-sectional observations rather than</w:t>
      </w:r>
      <w:r w:rsidR="00C80FDE">
        <w:rPr>
          <w:rFonts w:ascii="Times New Roman"/>
        </w:rPr>
        <w:t xml:space="preserve"> extended follow-through. The weight of the quantitative data available is </w:t>
      </w:r>
      <w:r w:rsidR="001A7D70">
        <w:rPr>
          <w:rFonts w:ascii="Times New Roman"/>
        </w:rPr>
        <w:t xml:space="preserve">not matched by explanations </w:t>
      </w:r>
      <w:r w:rsidR="00B46D66">
        <w:rPr>
          <w:rFonts w:ascii="Times New Roman"/>
        </w:rPr>
        <w:t xml:space="preserve">given </w:t>
      </w:r>
      <w:r w:rsidR="001A7D70">
        <w:rPr>
          <w:rFonts w:ascii="Times New Roman"/>
        </w:rPr>
        <w:t>by those under study.</w:t>
      </w:r>
      <w:r w:rsidR="006A50AC">
        <w:rPr>
          <w:rFonts w:ascii="Times New Roman"/>
        </w:rPr>
        <w:t xml:space="preserve"> </w:t>
      </w:r>
      <w:r w:rsidR="00B46D66">
        <w:rPr>
          <w:rFonts w:ascii="Times New Roman"/>
        </w:rPr>
        <w:t>In this article w</w:t>
      </w:r>
      <w:r w:rsidR="001A7D70">
        <w:rPr>
          <w:rFonts w:ascii="Times New Roman"/>
        </w:rPr>
        <w:t>e describe</w:t>
      </w:r>
      <w:r>
        <w:rPr>
          <w:rFonts w:ascii="Times New Roman"/>
        </w:rPr>
        <w:t xml:space="preserve"> the methodology used to examine </w:t>
      </w:r>
      <w:r w:rsidR="001A7D70">
        <w:rPr>
          <w:rFonts w:ascii="Times New Roman"/>
        </w:rPr>
        <w:t xml:space="preserve">a number </w:t>
      </w:r>
      <w:r>
        <w:rPr>
          <w:rFonts w:ascii="Times New Roman"/>
        </w:rPr>
        <w:t xml:space="preserve">of these factors as they pertain to </w:t>
      </w:r>
      <w:r w:rsidR="001A7D70">
        <w:rPr>
          <w:rFonts w:ascii="Times New Roman"/>
        </w:rPr>
        <w:t>our</w:t>
      </w:r>
      <w:r>
        <w:rPr>
          <w:rFonts w:ascii="Times New Roman"/>
        </w:rPr>
        <w:t xml:space="preserve"> students. The statistical method employed to compare aspects of each factor is described. Together with the results of the statistical comparisons, the responses of students and staff members to these factors are </w:t>
      </w:r>
      <w:r w:rsidR="00B46D66">
        <w:rPr>
          <w:rFonts w:ascii="Times New Roman"/>
        </w:rPr>
        <w:t>presented</w:t>
      </w:r>
      <w:r>
        <w:rPr>
          <w:rFonts w:ascii="Times New Roman"/>
        </w:rPr>
        <w:t xml:space="preserve">, and the interplay of statistics and perceptions </w:t>
      </w:r>
      <w:r w:rsidR="006A50AC">
        <w:rPr>
          <w:rFonts w:ascii="Times New Roman"/>
        </w:rPr>
        <w:t xml:space="preserve">is discussed </w:t>
      </w:r>
      <w:r>
        <w:rPr>
          <w:rFonts w:ascii="Times New Roman"/>
        </w:rPr>
        <w:t xml:space="preserve">relative to the literature. </w:t>
      </w:r>
    </w:p>
    <w:p w:rsidR="00D91F65" w:rsidRDefault="00D91F65" w:rsidP="00BD6382">
      <w:pPr>
        <w:pStyle w:val="Body"/>
        <w:spacing w:line="360" w:lineRule="auto"/>
        <w:ind w:firstLine="426"/>
        <w:rPr>
          <w:rFonts w:ascii="Times New Roman" w:eastAsia="Times New Roman" w:hAnsi="Times New Roman" w:cs="Times New Roman"/>
        </w:rPr>
      </w:pPr>
    </w:p>
    <w:p w:rsidR="00D91F65" w:rsidRDefault="00D91F65" w:rsidP="00BD6382">
      <w:pPr>
        <w:pStyle w:val="Body"/>
        <w:spacing w:line="360" w:lineRule="auto"/>
        <w:ind w:firstLine="426"/>
        <w:rPr>
          <w:rFonts w:ascii="Times New Roman" w:eastAsia="Times New Roman" w:hAnsi="Times New Roman" w:cs="Times New Roman"/>
        </w:rPr>
      </w:pPr>
    </w:p>
    <w:p w:rsidR="00D91F65" w:rsidRDefault="00C50C4E" w:rsidP="00BD6382">
      <w:pPr>
        <w:pStyle w:val="Body"/>
        <w:spacing w:line="360" w:lineRule="auto"/>
        <w:rPr>
          <w:rFonts w:ascii="Times New Roman" w:eastAsia="Times New Roman" w:hAnsi="Times New Roman" w:cs="Times New Roman"/>
          <w:b/>
          <w:bCs/>
        </w:rPr>
      </w:pPr>
      <w:r>
        <w:rPr>
          <w:rFonts w:ascii="Times New Roman"/>
          <w:b/>
          <w:bCs/>
        </w:rPr>
        <w:t>Methodology</w:t>
      </w:r>
    </w:p>
    <w:p w:rsidR="00D91F65" w:rsidRDefault="00C50C4E" w:rsidP="00BD6382">
      <w:pPr>
        <w:pStyle w:val="Body"/>
        <w:spacing w:line="360" w:lineRule="auto"/>
        <w:rPr>
          <w:rFonts w:ascii="Times New Roman" w:eastAsia="Times New Roman" w:hAnsi="Times New Roman" w:cs="Times New Roman"/>
        </w:rPr>
      </w:pPr>
      <w:r>
        <w:rPr>
          <w:rFonts w:ascii="Times New Roman"/>
        </w:rPr>
        <w:t xml:space="preserve">Employing </w:t>
      </w:r>
      <w:r w:rsidR="006A50AC">
        <w:rPr>
          <w:rFonts w:ascii="Times New Roman"/>
        </w:rPr>
        <w:t xml:space="preserve">an </w:t>
      </w:r>
      <w:r>
        <w:rPr>
          <w:rFonts w:ascii="Times New Roman"/>
        </w:rPr>
        <w:t>interpretive paradigm, we adopted a complementary (</w:t>
      </w:r>
      <w:r w:rsidR="00551CC7">
        <w:rPr>
          <w:rFonts w:ascii="Times New Roman"/>
        </w:rPr>
        <w:t xml:space="preserve">Greene, </w:t>
      </w:r>
      <w:proofErr w:type="spellStart"/>
      <w:r w:rsidR="00551CC7">
        <w:rPr>
          <w:rFonts w:ascii="Times New Roman"/>
        </w:rPr>
        <w:t>Caracelli</w:t>
      </w:r>
      <w:proofErr w:type="spellEnd"/>
      <w:r w:rsidR="00551CC7">
        <w:rPr>
          <w:rFonts w:ascii="Times New Roman"/>
        </w:rPr>
        <w:t xml:space="preserve"> &amp; Graham 1989</w:t>
      </w:r>
      <w:r>
        <w:rPr>
          <w:rFonts w:ascii="Times New Roman"/>
        </w:rPr>
        <w:t>) mixed</w:t>
      </w:r>
      <w:r w:rsidR="00B46D66">
        <w:rPr>
          <w:rFonts w:ascii="Times New Roman"/>
        </w:rPr>
        <w:t>-</w:t>
      </w:r>
      <w:r>
        <w:rPr>
          <w:rFonts w:ascii="Times New Roman"/>
        </w:rPr>
        <w:t xml:space="preserve">method approach, using quantitative methods to delineate </w:t>
      </w:r>
      <w:r w:rsidR="00D179B2">
        <w:rPr>
          <w:rFonts w:ascii="Times New Roman"/>
        </w:rPr>
        <w:t xml:space="preserve">which </w:t>
      </w:r>
      <w:r>
        <w:rPr>
          <w:rFonts w:ascii="Times New Roman"/>
        </w:rPr>
        <w:t>demographic factors were influential individually, and qualitative methods to illuminate why this might be so. Institutional ethics approval, gatekeepers</w:t>
      </w:r>
      <w:r>
        <w:rPr>
          <w:rFonts w:hAnsi="Times New Roman"/>
        </w:rPr>
        <w:t>’</w:t>
      </w:r>
      <w:r>
        <w:rPr>
          <w:rFonts w:hAnsi="Times New Roman"/>
        </w:rPr>
        <w:t xml:space="preserve"> </w:t>
      </w:r>
      <w:r>
        <w:rPr>
          <w:rFonts w:ascii="Times New Roman"/>
        </w:rPr>
        <w:t>permission, and respondents</w:t>
      </w:r>
      <w:r>
        <w:rPr>
          <w:rFonts w:hAnsi="Times New Roman"/>
        </w:rPr>
        <w:t>’</w:t>
      </w:r>
      <w:r>
        <w:rPr>
          <w:rFonts w:hAnsi="Times New Roman"/>
        </w:rPr>
        <w:t xml:space="preserve"> </w:t>
      </w:r>
      <w:r>
        <w:rPr>
          <w:rFonts w:ascii="Times New Roman"/>
        </w:rPr>
        <w:t>written informed consent were obtained.</w:t>
      </w:r>
    </w:p>
    <w:p w:rsidR="00D91F65" w:rsidRDefault="00D91F65" w:rsidP="00BD6382">
      <w:pPr>
        <w:pStyle w:val="Body"/>
        <w:spacing w:line="360" w:lineRule="auto"/>
        <w:ind w:firstLine="426"/>
        <w:rPr>
          <w:rFonts w:ascii="Times New Roman" w:eastAsia="Times New Roman" w:hAnsi="Times New Roman" w:cs="Times New Roman"/>
        </w:rPr>
      </w:pPr>
    </w:p>
    <w:p w:rsidR="00D91F65" w:rsidRDefault="00C50C4E" w:rsidP="00BD6382">
      <w:pPr>
        <w:pStyle w:val="Body"/>
        <w:spacing w:line="360" w:lineRule="auto"/>
        <w:rPr>
          <w:rFonts w:ascii="Times New Roman" w:eastAsia="Times New Roman" w:hAnsi="Times New Roman" w:cs="Times New Roman"/>
          <w:i/>
          <w:iCs/>
        </w:rPr>
      </w:pPr>
      <w:r>
        <w:rPr>
          <w:rFonts w:ascii="Times New Roman"/>
          <w:i/>
          <w:iCs/>
        </w:rPr>
        <w:t>Quantitative</w:t>
      </w:r>
    </w:p>
    <w:p w:rsidR="00D91F65" w:rsidRPr="00B46D66" w:rsidRDefault="00C50C4E" w:rsidP="00BD6382">
      <w:pPr>
        <w:pStyle w:val="Body"/>
        <w:spacing w:line="360" w:lineRule="auto"/>
        <w:rPr>
          <w:rFonts w:ascii="Times New Roman" w:eastAsia="Times New Roman" w:hAnsi="Times New Roman" w:cs="Times New Roman"/>
        </w:rPr>
      </w:pPr>
      <w:r>
        <w:rPr>
          <w:rFonts w:ascii="Times New Roman"/>
        </w:rPr>
        <w:t xml:space="preserve">We recorded the assessment marks of a cohort of medical students for the five years of their </w:t>
      </w:r>
      <w:proofErr w:type="spellStart"/>
      <w:r>
        <w:rPr>
          <w:rFonts w:ascii="Times New Roman"/>
        </w:rPr>
        <w:t>MBChB</w:t>
      </w:r>
      <w:proofErr w:type="spellEnd"/>
      <w:r>
        <w:rPr>
          <w:rFonts w:ascii="Times New Roman"/>
        </w:rPr>
        <w:t xml:space="preserve"> </w:t>
      </w:r>
      <w:proofErr w:type="spellStart"/>
      <w:r>
        <w:rPr>
          <w:rFonts w:ascii="Times New Roman"/>
        </w:rPr>
        <w:t>programme</w:t>
      </w:r>
      <w:proofErr w:type="spellEnd"/>
      <w:r>
        <w:rPr>
          <w:rFonts w:ascii="Times New Roman"/>
        </w:rPr>
        <w:t xml:space="preserve">. To enable direct comparisons, we followed only those students who progressed with the cohort; students who dropped out or failed a year were not followed after leaving the cohort under study. Similarly, those who had failed a year ahead of this cohort and </w:t>
      </w:r>
      <w:r>
        <w:rPr>
          <w:rFonts w:ascii="Times New Roman"/>
        </w:rPr>
        <w:lastRenderedPageBreak/>
        <w:t xml:space="preserve">dropped back into the cohort were not included in the analysis. </w:t>
      </w:r>
      <w:r w:rsidR="0000344B">
        <w:rPr>
          <w:rFonts w:ascii="Times New Roman"/>
        </w:rPr>
        <w:t>S</w:t>
      </w:r>
      <w:r>
        <w:rPr>
          <w:rFonts w:ascii="Times New Roman"/>
        </w:rPr>
        <w:t>tudents</w:t>
      </w:r>
      <w:r>
        <w:rPr>
          <w:rFonts w:hAnsi="Times New Roman"/>
        </w:rPr>
        <w:t>’</w:t>
      </w:r>
      <w:r>
        <w:rPr>
          <w:rFonts w:hAnsi="Times New Roman"/>
        </w:rPr>
        <w:t xml:space="preserve"> </w:t>
      </w:r>
      <w:r>
        <w:rPr>
          <w:rFonts w:ascii="Times New Roman"/>
        </w:rPr>
        <w:t xml:space="preserve">marks were </w:t>
      </w:r>
      <w:proofErr w:type="spellStart"/>
      <w:r>
        <w:rPr>
          <w:rFonts w:ascii="Times New Roman"/>
        </w:rPr>
        <w:t>analysed</w:t>
      </w:r>
      <w:proofErr w:type="spellEnd"/>
      <w:r>
        <w:rPr>
          <w:rFonts w:ascii="Times New Roman"/>
        </w:rPr>
        <w:t xml:space="preserve"> in terms of various demographic parameters available to us through </w:t>
      </w:r>
      <w:r w:rsidR="00224445">
        <w:rPr>
          <w:rFonts w:ascii="Times New Roman"/>
        </w:rPr>
        <w:t xml:space="preserve">the records of the University </w:t>
      </w:r>
      <w:proofErr w:type="gramStart"/>
      <w:r w:rsidR="00224445">
        <w:rPr>
          <w:rFonts w:ascii="Times New Roman"/>
        </w:rPr>
        <w:t>of</w:t>
      </w:r>
      <w:proofErr w:type="gramEnd"/>
      <w:r w:rsidR="00224445">
        <w:rPr>
          <w:rFonts w:ascii="Times New Roman"/>
        </w:rPr>
        <w:t xml:space="preserve"> KwaZulu-Natal (</w:t>
      </w:r>
      <w:r>
        <w:rPr>
          <w:rFonts w:ascii="Times New Roman"/>
        </w:rPr>
        <w:t>UKZN</w:t>
      </w:r>
      <w:r w:rsidR="00224445">
        <w:rPr>
          <w:rFonts w:ascii="Times New Roman"/>
        </w:rPr>
        <w:t>)</w:t>
      </w:r>
      <w:r>
        <w:rPr>
          <w:rFonts w:ascii="Times New Roman"/>
        </w:rPr>
        <w:t xml:space="preserve">. The data gathered </w:t>
      </w:r>
      <w:r w:rsidR="00224445">
        <w:rPr>
          <w:rFonts w:ascii="Times New Roman"/>
        </w:rPr>
        <w:t xml:space="preserve">comprised </w:t>
      </w:r>
      <w:r w:rsidRPr="00B46D66">
        <w:rPr>
          <w:rFonts w:ascii="Times New Roman" w:hAnsi="Times New Roman" w:cs="Times New Roman"/>
        </w:rPr>
        <w:t>‘</w:t>
      </w:r>
      <w:r>
        <w:rPr>
          <w:rFonts w:ascii="Times New Roman"/>
        </w:rPr>
        <w:t>race</w:t>
      </w:r>
      <w:r w:rsidRPr="00B46D66">
        <w:rPr>
          <w:rFonts w:ascii="Times New Roman" w:hAnsi="Times New Roman" w:cs="Times New Roman"/>
        </w:rPr>
        <w:t>’</w:t>
      </w:r>
      <w:r w:rsidRPr="00B46D66">
        <w:rPr>
          <w:rFonts w:ascii="Times New Roman"/>
        </w:rPr>
        <w:t xml:space="preserve"> </w:t>
      </w:r>
      <w:r>
        <w:rPr>
          <w:rFonts w:ascii="Times New Roman"/>
        </w:rPr>
        <w:t xml:space="preserve">(black / white / Indian / </w:t>
      </w:r>
      <w:r w:rsidR="0000344B" w:rsidRPr="00B46D66">
        <w:rPr>
          <w:rFonts w:ascii="Times New Roman" w:hAnsi="Times New Roman" w:cs="Times New Roman"/>
        </w:rPr>
        <w:t>‘</w:t>
      </w:r>
      <w:proofErr w:type="spellStart"/>
      <w:r>
        <w:rPr>
          <w:rFonts w:ascii="Times New Roman"/>
        </w:rPr>
        <w:t>coloured</w:t>
      </w:r>
      <w:proofErr w:type="spellEnd"/>
      <w:r w:rsidR="0000344B" w:rsidRPr="00B46D66">
        <w:rPr>
          <w:rFonts w:ascii="Times New Roman" w:hAnsi="Times New Roman" w:cs="Times New Roman"/>
        </w:rPr>
        <w:t>’</w:t>
      </w:r>
      <w:r>
        <w:rPr>
          <w:rFonts w:ascii="Times New Roman"/>
        </w:rPr>
        <w:t xml:space="preserve">), first language, </w:t>
      </w:r>
      <w:r w:rsidR="00224445">
        <w:rPr>
          <w:rFonts w:ascii="Times New Roman"/>
        </w:rPr>
        <w:t>sex, age at the start of the course</w:t>
      </w:r>
      <w:r w:rsidR="00552526">
        <w:rPr>
          <w:rFonts w:ascii="Times New Roman"/>
        </w:rPr>
        <w:t>,</w:t>
      </w:r>
      <w:r w:rsidR="00224445">
        <w:rPr>
          <w:rFonts w:ascii="Times New Roman"/>
        </w:rPr>
        <w:t xml:space="preserve"> </w:t>
      </w:r>
      <w:r>
        <w:rPr>
          <w:rFonts w:ascii="Times New Roman"/>
        </w:rPr>
        <w:t xml:space="preserve">and source of finance (self or family / scholarship or bursary / </w:t>
      </w:r>
      <w:r w:rsidR="007C185F">
        <w:rPr>
          <w:rFonts w:ascii="Times New Roman"/>
        </w:rPr>
        <w:t xml:space="preserve">support from </w:t>
      </w:r>
      <w:r>
        <w:rPr>
          <w:rFonts w:ascii="Times New Roman"/>
        </w:rPr>
        <w:t>NSFAS</w:t>
      </w:r>
      <w:r w:rsidR="00B46D66">
        <w:rPr>
          <w:rFonts w:ascii="Times New Roman"/>
        </w:rPr>
        <w:t xml:space="preserve"> </w:t>
      </w:r>
      <w:r w:rsidR="007C185F">
        <w:rPr>
          <w:rFonts w:ascii="Times New Roman"/>
        </w:rPr>
        <w:t>(2015)</w:t>
      </w:r>
      <w:r>
        <w:rPr>
          <w:rFonts w:ascii="Times New Roman"/>
        </w:rPr>
        <w:t>)</w:t>
      </w:r>
      <w:r w:rsidR="0005545E">
        <w:rPr>
          <w:rFonts w:ascii="Times New Roman"/>
        </w:rPr>
        <w:t xml:space="preserve">. </w:t>
      </w:r>
    </w:p>
    <w:p w:rsidR="00D91F65" w:rsidRDefault="00D91F65" w:rsidP="00BD6382">
      <w:pPr>
        <w:pStyle w:val="Body"/>
        <w:spacing w:line="360" w:lineRule="auto"/>
        <w:ind w:firstLine="426"/>
        <w:rPr>
          <w:rFonts w:ascii="Times New Roman" w:eastAsia="Times New Roman" w:hAnsi="Times New Roman" w:cs="Times New Roman"/>
        </w:rPr>
      </w:pPr>
    </w:p>
    <w:p w:rsidR="00D91F65" w:rsidRPr="00DB6576" w:rsidRDefault="00C50C4E" w:rsidP="00BD6382">
      <w:pPr>
        <w:pStyle w:val="Body"/>
        <w:spacing w:line="360" w:lineRule="auto"/>
        <w:ind w:firstLine="426"/>
        <w:rPr>
          <w:rFonts w:ascii="Times New Roman"/>
        </w:rPr>
      </w:pPr>
      <w:r>
        <w:rPr>
          <w:rFonts w:ascii="Times New Roman"/>
        </w:rPr>
        <w:t>Data were entered into MS Excel</w:t>
      </w:r>
      <w:r>
        <w:rPr>
          <w:rFonts w:hAnsi="Times New Roman"/>
        </w:rPr>
        <w:t>®</w:t>
      </w:r>
      <w:r>
        <w:rPr>
          <w:rFonts w:hAnsi="Times New Roman"/>
        </w:rPr>
        <w:t xml:space="preserve"> </w:t>
      </w:r>
      <w:r>
        <w:rPr>
          <w:rFonts w:ascii="Times New Roman"/>
        </w:rPr>
        <w:t xml:space="preserve">spreadsheets, collated, </w:t>
      </w:r>
      <w:r w:rsidR="00CE6CBA">
        <w:rPr>
          <w:rFonts w:ascii="Times New Roman"/>
        </w:rPr>
        <w:t>coded for anonymity</w:t>
      </w:r>
      <w:r>
        <w:rPr>
          <w:rFonts w:ascii="Times New Roman"/>
        </w:rPr>
        <w:t xml:space="preserve">, </w:t>
      </w:r>
      <w:proofErr w:type="gramStart"/>
      <w:r>
        <w:rPr>
          <w:rFonts w:ascii="Times New Roman"/>
        </w:rPr>
        <w:t>then</w:t>
      </w:r>
      <w:proofErr w:type="gramEnd"/>
      <w:r>
        <w:rPr>
          <w:rFonts w:ascii="Times New Roman"/>
        </w:rPr>
        <w:t xml:space="preserve"> transferred to</w:t>
      </w:r>
      <w:r w:rsidR="0075434A">
        <w:rPr>
          <w:rFonts w:ascii="Times New Roman"/>
        </w:rPr>
        <w:t xml:space="preserve"> IBM</w:t>
      </w:r>
      <w:r>
        <w:rPr>
          <w:rFonts w:ascii="Times New Roman"/>
        </w:rPr>
        <w:t xml:space="preserve"> SPSS</w:t>
      </w:r>
      <w:r>
        <w:rPr>
          <w:rFonts w:hAnsi="Times New Roman"/>
        </w:rPr>
        <w:t>®</w:t>
      </w:r>
      <w:r>
        <w:rPr>
          <w:rFonts w:ascii="Times New Roman"/>
        </w:rPr>
        <w:t xml:space="preserve">. </w:t>
      </w:r>
      <w:r w:rsidR="00CE6CBA">
        <w:rPr>
          <w:rFonts w:ascii="Times New Roman"/>
        </w:rPr>
        <w:t>For initial analysis, we used a</w:t>
      </w:r>
      <w:r>
        <w:rPr>
          <w:rFonts w:ascii="Times New Roman"/>
        </w:rPr>
        <w:t xml:space="preserve"> general linear model (GLM). </w:t>
      </w:r>
      <w:r w:rsidR="005D0856">
        <w:rPr>
          <w:rFonts w:ascii="Times New Roman"/>
        </w:rPr>
        <w:t>This resembles</w:t>
      </w:r>
      <w:r>
        <w:rPr>
          <w:rFonts w:ascii="Times New Roman"/>
        </w:rPr>
        <w:t xml:space="preserve"> analysis of variance (ANOVA) using regression (</w:t>
      </w:r>
      <w:r w:rsidR="00DE1D3C">
        <w:rPr>
          <w:rFonts w:ascii="Times New Roman"/>
        </w:rPr>
        <w:t>Field 2009)</w:t>
      </w:r>
      <w:r>
        <w:rPr>
          <w:rFonts w:ascii="Times New Roman"/>
        </w:rPr>
        <w:t xml:space="preserve">, and </w:t>
      </w:r>
      <w:r w:rsidR="005D0856">
        <w:rPr>
          <w:rFonts w:ascii="Times New Roman"/>
        </w:rPr>
        <w:t>represents an</w:t>
      </w:r>
      <w:r>
        <w:rPr>
          <w:rFonts w:ascii="Times New Roman"/>
        </w:rPr>
        <w:t xml:space="preserve"> </w:t>
      </w:r>
      <w:r w:rsidR="005D0856">
        <w:rPr>
          <w:rFonts w:ascii="Times New Roman"/>
        </w:rPr>
        <w:t>encompassing</w:t>
      </w:r>
      <w:r>
        <w:rPr>
          <w:rFonts w:ascii="Times New Roman"/>
        </w:rPr>
        <w:t xml:space="preserve"> term that includes</w:t>
      </w:r>
      <w:r w:rsidR="005D0856">
        <w:rPr>
          <w:rFonts w:ascii="Times New Roman"/>
        </w:rPr>
        <w:t xml:space="preserve"> various</w:t>
      </w:r>
      <w:r>
        <w:rPr>
          <w:rFonts w:ascii="Times New Roman"/>
        </w:rPr>
        <w:t xml:space="preserve"> comparative</w:t>
      </w:r>
      <w:r w:rsidR="005D0856">
        <w:rPr>
          <w:rFonts w:ascii="Times New Roman"/>
        </w:rPr>
        <w:t xml:space="preserve"> statistical</w:t>
      </w:r>
      <w:r>
        <w:rPr>
          <w:rFonts w:ascii="Times New Roman"/>
        </w:rPr>
        <w:t xml:space="preserve"> tests </w:t>
      </w:r>
      <w:r w:rsidR="005D0856">
        <w:rPr>
          <w:rFonts w:ascii="Times New Roman"/>
        </w:rPr>
        <w:t xml:space="preserve">(e.g. </w:t>
      </w:r>
      <w:r>
        <w:rPr>
          <w:rFonts w:ascii="Times New Roman"/>
        </w:rPr>
        <w:t>t test, ANOVA</w:t>
      </w:r>
      <w:r w:rsidR="005D0856">
        <w:rPr>
          <w:rFonts w:ascii="Times New Roman"/>
        </w:rPr>
        <w:t>,</w:t>
      </w:r>
      <w:r>
        <w:rPr>
          <w:rFonts w:ascii="Times New Roman"/>
        </w:rPr>
        <w:t xml:space="preserve"> regression analysis</w:t>
      </w:r>
      <w:r w:rsidR="005D0856">
        <w:rPr>
          <w:rFonts w:ascii="Times New Roman"/>
        </w:rPr>
        <w:t>)</w:t>
      </w:r>
      <w:r>
        <w:rPr>
          <w:rFonts w:ascii="Times New Roman"/>
        </w:rPr>
        <w:t xml:space="preserve">. Its advantage </w:t>
      </w:r>
      <w:r w:rsidR="005D0856">
        <w:rPr>
          <w:rFonts w:ascii="Times New Roman"/>
        </w:rPr>
        <w:t xml:space="preserve">is </w:t>
      </w:r>
      <w:r w:rsidR="00192235">
        <w:rPr>
          <w:rFonts w:ascii="Times New Roman"/>
        </w:rPr>
        <w:t>the</w:t>
      </w:r>
      <w:r w:rsidR="005D0856">
        <w:rPr>
          <w:rFonts w:ascii="Times New Roman"/>
        </w:rPr>
        <w:t xml:space="preserve"> ability</w:t>
      </w:r>
      <w:r>
        <w:rPr>
          <w:rFonts w:ascii="Times New Roman"/>
        </w:rPr>
        <w:t xml:space="preserve"> to incorporate matrices representing data</w:t>
      </w:r>
      <w:r w:rsidR="005D0856">
        <w:rPr>
          <w:rFonts w:ascii="Times New Roman"/>
        </w:rPr>
        <w:t xml:space="preserve"> sets</w:t>
      </w:r>
      <w:r>
        <w:rPr>
          <w:rFonts w:ascii="Times New Roman"/>
        </w:rPr>
        <w:t xml:space="preserve"> and to make </w:t>
      </w:r>
      <w:r w:rsidR="005D0856">
        <w:rPr>
          <w:rFonts w:ascii="Times New Roman"/>
        </w:rPr>
        <w:t>numerous</w:t>
      </w:r>
      <w:r>
        <w:rPr>
          <w:rFonts w:ascii="Times New Roman"/>
        </w:rPr>
        <w:t xml:space="preserve"> comparisons (</w:t>
      </w:r>
      <w:proofErr w:type="spellStart"/>
      <w:r w:rsidR="00DE1D3C">
        <w:rPr>
          <w:rFonts w:ascii="Times New Roman"/>
        </w:rPr>
        <w:t>Trochim</w:t>
      </w:r>
      <w:proofErr w:type="spellEnd"/>
      <w:r w:rsidR="00DE1D3C">
        <w:rPr>
          <w:rFonts w:ascii="Times New Roman"/>
        </w:rPr>
        <w:t xml:space="preserve"> 2006)</w:t>
      </w:r>
      <w:r>
        <w:rPr>
          <w:rFonts w:ascii="Times New Roman"/>
        </w:rPr>
        <w:t xml:space="preserve">. In </w:t>
      </w:r>
      <w:r w:rsidR="005D0856">
        <w:rPr>
          <w:rFonts w:ascii="Times New Roman"/>
        </w:rPr>
        <w:t xml:space="preserve">our </w:t>
      </w:r>
      <w:r>
        <w:rPr>
          <w:rFonts w:ascii="Times New Roman"/>
        </w:rPr>
        <w:t xml:space="preserve">study, </w:t>
      </w:r>
      <w:r w:rsidR="009E794B">
        <w:rPr>
          <w:rFonts w:ascii="Times New Roman"/>
        </w:rPr>
        <w:t xml:space="preserve">the data set of </w:t>
      </w:r>
      <w:r>
        <w:rPr>
          <w:rFonts w:ascii="Times New Roman"/>
        </w:rPr>
        <w:t>each student</w:t>
      </w:r>
      <w:r w:rsidR="009E794B">
        <w:rPr>
          <w:rFonts w:ascii="Times New Roman"/>
        </w:rPr>
        <w:t xml:space="preserve"> who completed the five-year </w:t>
      </w:r>
      <w:proofErr w:type="spellStart"/>
      <w:r w:rsidR="009E794B">
        <w:rPr>
          <w:rFonts w:ascii="Times New Roman"/>
        </w:rPr>
        <w:t>programme</w:t>
      </w:r>
      <w:proofErr w:type="spellEnd"/>
      <w:r>
        <w:rPr>
          <w:rFonts w:ascii="Times New Roman"/>
        </w:rPr>
        <w:t xml:space="preserve"> had 32 </w:t>
      </w:r>
      <w:r w:rsidR="009E794B" w:rsidRPr="00C73EB9">
        <w:rPr>
          <w:rFonts w:ascii="Times New Roman"/>
        </w:rPr>
        <w:t xml:space="preserve">assessment </w:t>
      </w:r>
      <w:r>
        <w:rPr>
          <w:rFonts w:ascii="Times New Roman"/>
        </w:rPr>
        <w:t>marks</w:t>
      </w:r>
      <w:r w:rsidR="009E794B">
        <w:rPr>
          <w:rFonts w:ascii="Times New Roman"/>
        </w:rPr>
        <w:t>,</w:t>
      </w:r>
      <w:r>
        <w:rPr>
          <w:rFonts w:ascii="Times New Roman"/>
        </w:rPr>
        <w:t xml:space="preserve"> which were examined in the light of each demographic characteristic.</w:t>
      </w:r>
      <w:r w:rsidR="00A14441" w:rsidRPr="00DB6576">
        <w:rPr>
          <w:rFonts w:ascii="Times New Roman"/>
        </w:rPr>
        <w:t xml:space="preserve"> </w:t>
      </w:r>
      <w:r w:rsidR="0077486D">
        <w:rPr>
          <w:rFonts w:ascii="Times New Roman"/>
        </w:rPr>
        <w:t>Because s</w:t>
      </w:r>
      <w:r w:rsidR="00A14441" w:rsidRPr="00DB6576">
        <w:rPr>
          <w:rFonts w:ascii="Times New Roman"/>
        </w:rPr>
        <w:t>tudents who failed a year were not followed further</w:t>
      </w:r>
      <w:r w:rsidR="0077486D">
        <w:rPr>
          <w:rFonts w:ascii="Times New Roman"/>
        </w:rPr>
        <w:t>,</w:t>
      </w:r>
      <w:r w:rsidR="00A14441" w:rsidRPr="00DB6576">
        <w:rPr>
          <w:rFonts w:ascii="Times New Roman"/>
        </w:rPr>
        <w:t xml:space="preserve"> th</w:t>
      </w:r>
      <w:r w:rsidR="0077486D">
        <w:rPr>
          <w:rFonts w:ascii="Times New Roman"/>
        </w:rPr>
        <w:t>ey</w:t>
      </w:r>
      <w:r w:rsidR="00A14441" w:rsidRPr="00DB6576">
        <w:rPr>
          <w:rFonts w:ascii="Times New Roman"/>
        </w:rPr>
        <w:t xml:space="preserve"> had fewer than 32 marks</w:t>
      </w:r>
      <w:r w:rsidR="009E794B">
        <w:rPr>
          <w:rFonts w:ascii="Times New Roman"/>
        </w:rPr>
        <w:t>.</w:t>
      </w:r>
    </w:p>
    <w:p w:rsidR="00D91F65" w:rsidRDefault="00C50C4E" w:rsidP="00BD6382">
      <w:pPr>
        <w:pStyle w:val="Heading3"/>
        <w:spacing w:line="360" w:lineRule="auto"/>
        <w:rPr>
          <w:rFonts w:ascii="Times New Roman" w:eastAsia="Times New Roman" w:hAnsi="Times New Roman" w:cs="Times New Roman"/>
        </w:rPr>
      </w:pPr>
      <w:r>
        <w:rPr>
          <w:rFonts w:ascii="Times New Roman"/>
        </w:rPr>
        <w:t>Qualitative</w:t>
      </w:r>
    </w:p>
    <w:p w:rsidR="00D91F65" w:rsidRDefault="00C50C4E" w:rsidP="00FC31D4">
      <w:pPr>
        <w:pStyle w:val="Body"/>
        <w:spacing w:line="360" w:lineRule="auto"/>
        <w:ind w:firstLine="425"/>
        <w:rPr>
          <w:rFonts w:ascii="Times New Roman" w:eastAsia="Times New Roman" w:hAnsi="Times New Roman" w:cs="Times New Roman"/>
        </w:rPr>
      </w:pPr>
      <w:r>
        <w:rPr>
          <w:rFonts w:ascii="Times New Roman"/>
        </w:rPr>
        <w:t xml:space="preserve">When the cohort </w:t>
      </w:r>
      <w:r w:rsidR="005D0856">
        <w:rPr>
          <w:rFonts w:ascii="Times New Roman"/>
        </w:rPr>
        <w:t>being studied</w:t>
      </w:r>
      <w:r>
        <w:rPr>
          <w:rFonts w:ascii="Times New Roman"/>
        </w:rPr>
        <w:t xml:space="preserve"> was in</w:t>
      </w:r>
      <w:r w:rsidR="0077486D">
        <w:rPr>
          <w:rFonts w:ascii="Times New Roman"/>
        </w:rPr>
        <w:t xml:space="preserve"> its</w:t>
      </w:r>
      <w:r>
        <w:rPr>
          <w:rFonts w:ascii="Times New Roman"/>
        </w:rPr>
        <w:t xml:space="preserve"> third year, we interviewed a purposive sample of 19 students representative of the cohort</w:t>
      </w:r>
      <w:r w:rsidR="005D0856">
        <w:rPr>
          <w:rFonts w:ascii="Times New Roman"/>
        </w:rPr>
        <w:t>’</w:t>
      </w:r>
      <w:r w:rsidR="005D0856">
        <w:rPr>
          <w:rFonts w:ascii="Times New Roman"/>
        </w:rPr>
        <w:t>s demographics</w:t>
      </w:r>
      <w:r>
        <w:rPr>
          <w:rFonts w:ascii="Times New Roman"/>
        </w:rPr>
        <w:t xml:space="preserve">. </w:t>
      </w:r>
      <w:r w:rsidR="005D0856">
        <w:rPr>
          <w:rFonts w:ascii="Times New Roman"/>
        </w:rPr>
        <w:t xml:space="preserve">The students were </w:t>
      </w:r>
      <w:r w:rsidR="00C448D2">
        <w:rPr>
          <w:rFonts w:ascii="Times New Roman"/>
        </w:rPr>
        <w:t>i</w:t>
      </w:r>
      <w:r>
        <w:rPr>
          <w:rFonts w:ascii="Times New Roman"/>
        </w:rPr>
        <w:t>nterview</w:t>
      </w:r>
      <w:r w:rsidR="00C448D2">
        <w:rPr>
          <w:rFonts w:ascii="Times New Roman"/>
        </w:rPr>
        <w:t xml:space="preserve">ed </w:t>
      </w:r>
      <w:proofErr w:type="gramStart"/>
      <w:r w:rsidR="00C448D2">
        <w:rPr>
          <w:rFonts w:ascii="Times New Roman"/>
        </w:rPr>
        <w:t>in</w:t>
      </w:r>
      <w:r w:rsidR="007072C4">
        <w:rPr>
          <w:rFonts w:ascii="Times New Roman"/>
        </w:rPr>
        <w:t xml:space="preserve"> </w:t>
      </w:r>
      <w:r>
        <w:rPr>
          <w:rFonts w:ascii="Times New Roman"/>
        </w:rPr>
        <w:t xml:space="preserve"> </w:t>
      </w:r>
      <w:r w:rsidR="00C448D2">
        <w:rPr>
          <w:rFonts w:ascii="Times New Roman"/>
        </w:rPr>
        <w:t>a</w:t>
      </w:r>
      <w:proofErr w:type="gramEnd"/>
      <w:r>
        <w:rPr>
          <w:rFonts w:ascii="Times New Roman"/>
        </w:rPr>
        <w:t xml:space="preserve"> group of eight</w:t>
      </w:r>
      <w:r w:rsidR="00C448D2">
        <w:rPr>
          <w:rFonts w:ascii="Times New Roman"/>
        </w:rPr>
        <w:t>, a group of</w:t>
      </w:r>
      <w:r>
        <w:rPr>
          <w:rFonts w:ascii="Times New Roman"/>
        </w:rPr>
        <w:t xml:space="preserve"> five, two pairs, and three individuals. As </w:t>
      </w:r>
      <w:r w:rsidR="00C448D2">
        <w:rPr>
          <w:rFonts w:ascii="Times New Roman"/>
        </w:rPr>
        <w:t>prompts for</w:t>
      </w:r>
      <w:r>
        <w:rPr>
          <w:rFonts w:ascii="Times New Roman"/>
        </w:rPr>
        <w:t xml:space="preserve"> discussion, we used graphs that depicted </w:t>
      </w:r>
      <w:r w:rsidR="00C448D2">
        <w:rPr>
          <w:rFonts w:ascii="Times New Roman"/>
        </w:rPr>
        <w:t xml:space="preserve">previous </w:t>
      </w:r>
      <w:r>
        <w:rPr>
          <w:rFonts w:ascii="Times New Roman"/>
        </w:rPr>
        <w:t>students</w:t>
      </w:r>
      <w:r>
        <w:rPr>
          <w:rFonts w:hAnsi="Times New Roman"/>
        </w:rPr>
        <w:t>’</w:t>
      </w:r>
      <w:r>
        <w:rPr>
          <w:rFonts w:hAnsi="Times New Roman"/>
        </w:rPr>
        <w:t xml:space="preserve"> </w:t>
      </w:r>
      <w:r>
        <w:rPr>
          <w:rFonts w:ascii="Times New Roman"/>
        </w:rPr>
        <w:t xml:space="preserve">performance in </w:t>
      </w:r>
      <w:r w:rsidR="00C448D2">
        <w:rPr>
          <w:rFonts w:ascii="Times New Roman"/>
        </w:rPr>
        <w:t>relation to several</w:t>
      </w:r>
      <w:r>
        <w:rPr>
          <w:rFonts w:ascii="Times New Roman"/>
        </w:rPr>
        <w:t xml:space="preserve"> demographic characteristics. </w:t>
      </w:r>
      <w:r w:rsidR="00C448D2">
        <w:rPr>
          <w:rFonts w:ascii="Times New Roman"/>
        </w:rPr>
        <w:t>We interviewed individually s</w:t>
      </w:r>
      <w:r>
        <w:rPr>
          <w:rFonts w:ascii="Times New Roman"/>
        </w:rPr>
        <w:t xml:space="preserve">ix lecturers representing pre-clinical and clinical sciences, and </w:t>
      </w:r>
      <w:r w:rsidR="00C448D2">
        <w:rPr>
          <w:rFonts w:ascii="Times New Roman"/>
        </w:rPr>
        <w:t>th</w:t>
      </w:r>
      <w:r w:rsidR="00FF7572">
        <w:rPr>
          <w:rFonts w:ascii="Times New Roman"/>
        </w:rPr>
        <w:t>ey</w:t>
      </w:r>
      <w:r w:rsidR="00C448D2">
        <w:rPr>
          <w:rFonts w:ascii="Times New Roman"/>
        </w:rPr>
        <w:t xml:space="preserve"> </w:t>
      </w:r>
      <w:r>
        <w:rPr>
          <w:rFonts w:ascii="Times New Roman"/>
        </w:rPr>
        <w:t xml:space="preserve">were asked </w:t>
      </w:r>
      <w:r w:rsidR="00192235">
        <w:rPr>
          <w:rFonts w:ascii="Times New Roman"/>
        </w:rPr>
        <w:t>f</w:t>
      </w:r>
      <w:r>
        <w:rPr>
          <w:rFonts w:ascii="Times New Roman"/>
        </w:rPr>
        <w:t>o</w:t>
      </w:r>
      <w:r w:rsidR="00192235">
        <w:rPr>
          <w:rFonts w:ascii="Times New Roman"/>
        </w:rPr>
        <w:t>r</w:t>
      </w:r>
      <w:r>
        <w:rPr>
          <w:rFonts w:ascii="Times New Roman"/>
        </w:rPr>
        <w:t xml:space="preserve"> comment</w:t>
      </w:r>
      <w:r w:rsidR="00192235">
        <w:rPr>
          <w:rFonts w:ascii="Times New Roman"/>
        </w:rPr>
        <w:t>s</w:t>
      </w:r>
      <w:r>
        <w:rPr>
          <w:rFonts w:ascii="Times New Roman"/>
        </w:rPr>
        <w:t xml:space="preserve"> on the same graphs. The interviews were recorded</w:t>
      </w:r>
      <w:r w:rsidR="00C448D2">
        <w:rPr>
          <w:rFonts w:ascii="Times New Roman"/>
        </w:rPr>
        <w:t>,</w:t>
      </w:r>
      <w:r>
        <w:rPr>
          <w:rFonts w:ascii="Times New Roman"/>
        </w:rPr>
        <w:t xml:space="preserve"> transcribed, </w:t>
      </w:r>
      <w:r w:rsidR="00FF7572">
        <w:rPr>
          <w:rFonts w:ascii="Times New Roman"/>
        </w:rPr>
        <w:t xml:space="preserve">and </w:t>
      </w:r>
      <w:r>
        <w:rPr>
          <w:rFonts w:ascii="Times New Roman"/>
        </w:rPr>
        <w:t xml:space="preserve">returned to </w:t>
      </w:r>
      <w:r w:rsidR="00C448D2">
        <w:rPr>
          <w:rFonts w:ascii="Times New Roman"/>
        </w:rPr>
        <w:t>interviewees</w:t>
      </w:r>
      <w:r>
        <w:rPr>
          <w:rFonts w:ascii="Times New Roman"/>
        </w:rPr>
        <w:t xml:space="preserve"> for comments, additions, or corrections</w:t>
      </w:r>
      <w:r w:rsidR="00FF7572">
        <w:rPr>
          <w:rFonts w:ascii="Times New Roman"/>
        </w:rPr>
        <w:t>. They were</w:t>
      </w:r>
      <w:r>
        <w:rPr>
          <w:rFonts w:ascii="Times New Roman"/>
        </w:rPr>
        <w:t xml:space="preserve"> then</w:t>
      </w:r>
      <w:r w:rsidR="00C448D2">
        <w:rPr>
          <w:rFonts w:ascii="Times New Roman"/>
        </w:rPr>
        <w:t xml:space="preserve"> anonymously</w:t>
      </w:r>
      <w:r>
        <w:rPr>
          <w:rFonts w:ascii="Times New Roman"/>
        </w:rPr>
        <w:t xml:space="preserve"> </w:t>
      </w:r>
      <w:r w:rsidR="00EA090C">
        <w:rPr>
          <w:rFonts w:ascii="Times New Roman"/>
        </w:rPr>
        <w:t xml:space="preserve">coded and </w:t>
      </w:r>
      <w:proofErr w:type="spellStart"/>
      <w:r w:rsidR="00EA090C">
        <w:rPr>
          <w:rFonts w:ascii="Times New Roman"/>
        </w:rPr>
        <w:t>analysed</w:t>
      </w:r>
      <w:proofErr w:type="spellEnd"/>
      <w:r w:rsidR="00EA090C">
        <w:rPr>
          <w:rFonts w:ascii="Times New Roman"/>
        </w:rPr>
        <w:t xml:space="preserve"> using</w:t>
      </w:r>
      <w:r>
        <w:rPr>
          <w:rFonts w:ascii="Times New Roman"/>
        </w:rPr>
        <w:t xml:space="preserve"> </w:t>
      </w:r>
      <w:proofErr w:type="spellStart"/>
      <w:r>
        <w:rPr>
          <w:rFonts w:ascii="Times New Roman"/>
        </w:rPr>
        <w:t>NVivo</w:t>
      </w:r>
      <w:proofErr w:type="spellEnd"/>
      <w:r>
        <w:rPr>
          <w:rFonts w:hAnsi="Times New Roman"/>
        </w:rPr>
        <w:t>®</w:t>
      </w:r>
      <w:r>
        <w:rPr>
          <w:rFonts w:hAnsi="Times New Roman"/>
        </w:rPr>
        <w:t xml:space="preserve"> </w:t>
      </w:r>
      <w:r w:rsidR="00EA090C">
        <w:rPr>
          <w:rFonts w:ascii="Times New Roman"/>
        </w:rPr>
        <w:t>to</w:t>
      </w:r>
      <w:r>
        <w:rPr>
          <w:rFonts w:ascii="Times New Roman"/>
        </w:rPr>
        <w:t xml:space="preserve"> search for themes which were then grouped for further analysis. </w:t>
      </w:r>
    </w:p>
    <w:p w:rsidR="00D91F65" w:rsidRDefault="00D91F65" w:rsidP="00BD6382">
      <w:pPr>
        <w:pStyle w:val="Body"/>
        <w:spacing w:line="360" w:lineRule="auto"/>
        <w:ind w:firstLine="426"/>
        <w:rPr>
          <w:rFonts w:ascii="Times New Roman" w:eastAsia="Times New Roman" w:hAnsi="Times New Roman" w:cs="Times New Roman"/>
        </w:rPr>
      </w:pPr>
    </w:p>
    <w:p w:rsidR="00D91F65" w:rsidRDefault="007072C4" w:rsidP="00BD6382">
      <w:pPr>
        <w:pStyle w:val="Body"/>
        <w:spacing w:line="360" w:lineRule="auto"/>
        <w:rPr>
          <w:rFonts w:ascii="Times New Roman" w:eastAsia="Times New Roman" w:hAnsi="Times New Roman" w:cs="Times New Roman"/>
          <w:b/>
          <w:bCs/>
        </w:rPr>
      </w:pPr>
      <w:r>
        <w:rPr>
          <w:rFonts w:ascii="Times New Roman"/>
          <w:b/>
          <w:bCs/>
        </w:rPr>
        <w:t>Results and D</w:t>
      </w:r>
      <w:r w:rsidR="00C50C4E">
        <w:rPr>
          <w:rFonts w:ascii="Times New Roman"/>
          <w:b/>
          <w:bCs/>
        </w:rPr>
        <w:t>iscussion</w:t>
      </w:r>
    </w:p>
    <w:p w:rsidR="00D91F65" w:rsidRPr="00DB6576" w:rsidRDefault="00C50C4E" w:rsidP="00BD6382">
      <w:pPr>
        <w:pStyle w:val="Body"/>
        <w:spacing w:before="100" w:after="100" w:line="360" w:lineRule="auto"/>
        <w:rPr>
          <w:rFonts w:ascii="Times New Roman"/>
        </w:rPr>
      </w:pPr>
      <w:r>
        <w:rPr>
          <w:rFonts w:ascii="Times New Roman"/>
        </w:rPr>
        <w:t>Data were gathered from a cohort (n=202) of medical students who were tracked from their first to fifth year. Of this cohort, 144 (72%) successfully completed their medical degree in the standard five years. We present the descriptive statistics, graphical depictions, respondents</w:t>
      </w:r>
      <w:r>
        <w:rPr>
          <w:rFonts w:hAnsi="Times New Roman"/>
        </w:rPr>
        <w:t>’</w:t>
      </w:r>
      <w:r>
        <w:rPr>
          <w:rFonts w:hAnsi="Times New Roman"/>
        </w:rPr>
        <w:t xml:space="preserve"> </w:t>
      </w:r>
      <w:r>
        <w:rPr>
          <w:rFonts w:ascii="Times New Roman"/>
        </w:rPr>
        <w:t xml:space="preserve">comments, and reflections on the demographic factors explored in this article. </w:t>
      </w:r>
      <w:r w:rsidR="007072C4" w:rsidRPr="00DB6576">
        <w:rPr>
          <w:rFonts w:ascii="Times New Roman"/>
        </w:rPr>
        <w:t xml:space="preserve">Respondents are </w:t>
      </w:r>
      <w:r w:rsidR="007072C4" w:rsidRPr="00DB6576">
        <w:rPr>
          <w:rFonts w:ascii="Times New Roman"/>
        </w:rPr>
        <w:lastRenderedPageBreak/>
        <w:t>identified by pseudonyms that indicate their ethnicity</w:t>
      </w:r>
      <w:r w:rsidR="00BD6382">
        <w:rPr>
          <w:rFonts w:ascii="Times New Roman"/>
        </w:rPr>
        <w:t>.</w:t>
      </w:r>
      <w:r w:rsidR="007072C4" w:rsidRPr="00DB6576">
        <w:rPr>
          <w:rFonts w:ascii="Times New Roman"/>
        </w:rPr>
        <w:t xml:space="preserve"> </w:t>
      </w:r>
      <w:r w:rsidR="00BD6382">
        <w:rPr>
          <w:rFonts w:ascii="Times New Roman"/>
        </w:rPr>
        <w:t>S</w:t>
      </w:r>
      <w:r w:rsidR="007072C4" w:rsidRPr="00DB6576">
        <w:rPr>
          <w:rFonts w:ascii="Times New Roman"/>
        </w:rPr>
        <w:t>tudents</w:t>
      </w:r>
      <w:r w:rsidR="00BD6382">
        <w:rPr>
          <w:rFonts w:ascii="Times New Roman"/>
        </w:rPr>
        <w:t xml:space="preserve"> are referred to</w:t>
      </w:r>
      <w:r w:rsidR="007072C4" w:rsidRPr="00DB6576">
        <w:rPr>
          <w:rFonts w:ascii="Times New Roman"/>
        </w:rPr>
        <w:t xml:space="preserve"> by first names, staff members as </w:t>
      </w:r>
      <w:r w:rsidR="007072C4" w:rsidRPr="004866BD">
        <w:rPr>
          <w:rFonts w:ascii="Times New Roman" w:hAnsi="Times New Roman" w:cs="Times New Roman"/>
        </w:rPr>
        <w:t>‘</w:t>
      </w:r>
      <w:r w:rsidR="007072C4" w:rsidRPr="00DB6576">
        <w:rPr>
          <w:rFonts w:ascii="Times New Roman"/>
        </w:rPr>
        <w:t>Dr [Surname]</w:t>
      </w:r>
      <w:r w:rsidR="007072C4" w:rsidRPr="004866BD">
        <w:rPr>
          <w:rFonts w:ascii="Times New Roman" w:hAnsi="Times New Roman" w:cs="Times New Roman"/>
        </w:rPr>
        <w:t>’</w:t>
      </w:r>
      <w:r w:rsidR="007072C4" w:rsidRPr="00DB6576">
        <w:rPr>
          <w:rFonts w:ascii="Times New Roman"/>
        </w:rPr>
        <w:t>.</w:t>
      </w:r>
    </w:p>
    <w:p w:rsidR="00D91F65" w:rsidRDefault="00D91F65" w:rsidP="00BD6382">
      <w:pPr>
        <w:pStyle w:val="Body"/>
        <w:spacing w:line="360" w:lineRule="auto"/>
        <w:rPr>
          <w:rFonts w:ascii="Times New Roman" w:eastAsia="Times New Roman" w:hAnsi="Times New Roman" w:cs="Times New Roman"/>
          <w:shd w:val="clear" w:color="auto" w:fill="FF00FF"/>
        </w:rPr>
      </w:pPr>
    </w:p>
    <w:p w:rsidR="00D91F65" w:rsidRDefault="00C50C4E" w:rsidP="00BD6382">
      <w:pPr>
        <w:pStyle w:val="Body"/>
        <w:spacing w:line="360" w:lineRule="auto"/>
        <w:rPr>
          <w:rFonts w:ascii="Times New Roman" w:eastAsia="Times New Roman" w:hAnsi="Times New Roman" w:cs="Times New Roman"/>
          <w:i/>
          <w:iCs/>
        </w:rPr>
      </w:pPr>
      <w:r>
        <w:rPr>
          <w:rFonts w:hAnsi="Times New Roman"/>
          <w:i/>
          <w:iCs/>
        </w:rPr>
        <w:t xml:space="preserve"> </w:t>
      </w:r>
      <w:r>
        <w:rPr>
          <w:rFonts w:hAnsi="Times New Roman"/>
          <w:i/>
          <w:iCs/>
        </w:rPr>
        <w:t>‘</w:t>
      </w:r>
      <w:r>
        <w:rPr>
          <w:rFonts w:ascii="Times New Roman"/>
          <w:i/>
          <w:iCs/>
        </w:rPr>
        <w:t>Race</w:t>
      </w:r>
      <w:r>
        <w:rPr>
          <w:rFonts w:hAnsi="Times New Roman"/>
          <w:i/>
          <w:iCs/>
          <w:lang w:val="fr-FR"/>
        </w:rPr>
        <w:t>’</w:t>
      </w:r>
    </w:p>
    <w:p w:rsidR="00D91F65" w:rsidRDefault="00EA090C" w:rsidP="00BD6382">
      <w:pPr>
        <w:pStyle w:val="Body"/>
        <w:spacing w:before="100" w:after="100" w:line="360" w:lineRule="auto"/>
        <w:rPr>
          <w:rFonts w:ascii="Times New Roman" w:eastAsia="Times New Roman" w:hAnsi="Times New Roman" w:cs="Times New Roman"/>
        </w:rPr>
      </w:pPr>
      <w:r>
        <w:rPr>
          <w:rFonts w:ascii="Times New Roman"/>
        </w:rPr>
        <w:t>In the cohort studied,</w:t>
      </w:r>
      <w:r w:rsidDel="00EA090C">
        <w:rPr>
          <w:rFonts w:ascii="Times New Roman"/>
        </w:rPr>
        <w:t xml:space="preserve"> </w:t>
      </w:r>
      <w:r w:rsidR="00C50C4E">
        <w:rPr>
          <w:rFonts w:ascii="Times New Roman"/>
        </w:rPr>
        <w:t xml:space="preserve">there were 112 black African, 70 Indian, 11 white and 9 </w:t>
      </w:r>
      <w:proofErr w:type="spellStart"/>
      <w:r w:rsidR="00C50C4E">
        <w:rPr>
          <w:rFonts w:ascii="Times New Roman"/>
        </w:rPr>
        <w:t>coloured</w:t>
      </w:r>
      <w:proofErr w:type="spellEnd"/>
      <w:r w:rsidR="00C84122">
        <w:rPr>
          <w:rFonts w:ascii="Times New Roman"/>
        </w:rPr>
        <w:t xml:space="preserve"> students</w:t>
      </w:r>
      <w:r w:rsidR="00C50C4E">
        <w:rPr>
          <w:rFonts w:ascii="Times New Roman"/>
        </w:rPr>
        <w:t xml:space="preserve">. </w:t>
      </w:r>
      <w:r w:rsidR="000A664B">
        <w:rPr>
          <w:rFonts w:ascii="Times New Roman"/>
        </w:rPr>
        <w:t>When examined in isolation, s</w:t>
      </w:r>
      <w:r w:rsidR="00C50C4E">
        <w:rPr>
          <w:rFonts w:ascii="Times New Roman"/>
        </w:rPr>
        <w:t>tudents</w:t>
      </w:r>
      <w:r w:rsidR="00C50C4E">
        <w:rPr>
          <w:rFonts w:hAnsi="Times New Roman"/>
        </w:rPr>
        <w:t>’</w:t>
      </w:r>
      <w:r w:rsidR="00C50C4E">
        <w:rPr>
          <w:rFonts w:hAnsi="Times New Roman"/>
        </w:rPr>
        <w:t xml:space="preserve"> </w:t>
      </w:r>
      <w:r w:rsidR="00C50C4E">
        <w:rPr>
          <w:rFonts w:ascii="Times New Roman"/>
        </w:rPr>
        <w:t xml:space="preserve">race </w:t>
      </w:r>
      <w:r w:rsidR="000A664B">
        <w:rPr>
          <w:rFonts w:ascii="Times New Roman"/>
        </w:rPr>
        <w:t>was</w:t>
      </w:r>
      <w:r w:rsidR="00C50C4E">
        <w:rPr>
          <w:rFonts w:ascii="Times New Roman"/>
        </w:rPr>
        <w:t xml:space="preserve"> a significant</w:t>
      </w:r>
      <w:r w:rsidR="000A664B">
        <w:rPr>
          <w:rFonts w:ascii="Times New Roman"/>
        </w:rPr>
        <w:t xml:space="preserve"> influence on</w:t>
      </w:r>
      <w:r w:rsidR="00C50C4E">
        <w:rPr>
          <w:rFonts w:ascii="Times New Roman"/>
        </w:rPr>
        <w:t xml:space="preserve"> their test results (</w:t>
      </w:r>
      <w:r w:rsidR="00C50C4E">
        <w:rPr>
          <w:rFonts w:ascii="Times New Roman"/>
          <w:b/>
          <w:bCs/>
        </w:rPr>
        <w:t>Figure 1</w:t>
      </w:r>
      <w:r w:rsidR="00C50C4E">
        <w:rPr>
          <w:rFonts w:ascii="Times New Roman"/>
        </w:rPr>
        <w:t>).</w:t>
      </w:r>
    </w:p>
    <w:p w:rsidR="00D91F65" w:rsidRDefault="00D426C6" w:rsidP="00BD6382">
      <w:pPr>
        <w:pStyle w:val="Body"/>
        <w:spacing w:before="100" w:after="100" w:line="360" w:lineRule="auto"/>
        <w:ind w:firstLine="426"/>
        <w:rPr>
          <w:rFonts w:ascii="Times New Roman" w:eastAsia="Times New Roman" w:hAnsi="Times New Roman" w:cs="Times New Roman"/>
        </w:rPr>
      </w:pPr>
      <w:r>
        <w:rPr>
          <w:noProof/>
          <w:lang w:val="en-ZA"/>
        </w:rPr>
        <w:drawing>
          <wp:inline distT="0" distB="0" distL="0" distR="0" wp14:anchorId="29869EA2" wp14:editId="2C80827F">
            <wp:extent cx="5543550" cy="34099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426C6" w:rsidRDefault="00D426C6" w:rsidP="000A664B">
      <w:pPr>
        <w:pStyle w:val="Body"/>
        <w:spacing w:line="360" w:lineRule="auto"/>
        <w:ind w:left="426" w:right="737"/>
        <w:rPr>
          <w:rFonts w:ascii="Times New Roman" w:eastAsia="Times New Roman" w:hAnsi="Times New Roman" w:cs="Times New Roman"/>
        </w:rPr>
      </w:pPr>
      <w:r>
        <w:rPr>
          <w:rFonts w:ascii="Times New Roman"/>
          <w:b/>
          <w:bCs/>
        </w:rPr>
        <w:t xml:space="preserve">Figure 1: </w:t>
      </w:r>
      <w:r>
        <w:rPr>
          <w:rFonts w:ascii="Times New Roman"/>
          <w:b/>
          <w:bCs/>
        </w:rPr>
        <w:tab/>
      </w:r>
      <w:r>
        <w:rPr>
          <w:rFonts w:ascii="Times New Roman"/>
        </w:rPr>
        <w:t xml:space="preserve">Assessment results over five years according to </w:t>
      </w:r>
      <w:r w:rsidR="000A664B">
        <w:rPr>
          <w:rFonts w:ascii="Times New Roman"/>
        </w:rPr>
        <w:t>students</w:t>
      </w:r>
      <w:r w:rsidR="000A664B">
        <w:rPr>
          <w:rFonts w:ascii="Times New Roman"/>
        </w:rPr>
        <w:t>’</w:t>
      </w:r>
      <w:r w:rsidR="000A664B">
        <w:rPr>
          <w:rFonts w:ascii="Times New Roman"/>
        </w:rPr>
        <w:t xml:space="preserve"> </w:t>
      </w:r>
      <w:r>
        <w:rPr>
          <w:rFonts w:ascii="Times New Roman"/>
        </w:rPr>
        <w:t>race</w:t>
      </w:r>
      <w:r w:rsidR="000A664B" w:rsidRPr="000A664B">
        <w:rPr>
          <w:rFonts w:ascii="Times New Roman"/>
        </w:rPr>
        <w:t xml:space="preserve"> </w:t>
      </w:r>
    </w:p>
    <w:p w:rsidR="00D426C6" w:rsidRDefault="00D426C6" w:rsidP="00AE7588">
      <w:pPr>
        <w:pStyle w:val="Body"/>
        <w:spacing w:line="360" w:lineRule="auto"/>
        <w:ind w:left="1440" w:right="737"/>
        <w:rPr>
          <w:rFonts w:ascii="Times New Roman" w:eastAsia="Times New Roman" w:hAnsi="Times New Roman" w:cs="Times New Roman"/>
        </w:rPr>
      </w:pPr>
      <w:r>
        <w:rPr>
          <w:rFonts w:ascii="Times New Roman" w:eastAsia="Times New Roman" w:hAnsi="Times New Roman" w:cs="Times New Roman"/>
        </w:rPr>
        <w:t>A = Black African</w:t>
      </w:r>
      <w:r w:rsidR="00C84122">
        <w:rPr>
          <w:rFonts w:ascii="Times New Roman" w:eastAsia="Times New Roman" w:hAnsi="Times New Roman" w:cs="Times New Roman"/>
        </w:rPr>
        <w:t>;</w:t>
      </w:r>
      <w:r>
        <w:rPr>
          <w:rFonts w:ascii="Times New Roman" w:eastAsia="Times New Roman" w:hAnsi="Times New Roman" w:cs="Times New Roman"/>
        </w:rPr>
        <w:t xml:space="preserve"> C = </w:t>
      </w:r>
      <w:proofErr w:type="spellStart"/>
      <w:r>
        <w:rPr>
          <w:rFonts w:ascii="Times New Roman" w:eastAsia="Times New Roman" w:hAnsi="Times New Roman" w:cs="Times New Roman"/>
        </w:rPr>
        <w:t>Coloured</w:t>
      </w:r>
      <w:proofErr w:type="spellEnd"/>
      <w:r w:rsidR="00C84122">
        <w:rPr>
          <w:rFonts w:ascii="Times New Roman" w:eastAsia="Times New Roman" w:hAnsi="Times New Roman" w:cs="Times New Roman"/>
        </w:rPr>
        <w:t>;</w:t>
      </w:r>
      <w:r>
        <w:rPr>
          <w:rFonts w:ascii="Times New Roman" w:eastAsia="Times New Roman" w:hAnsi="Times New Roman" w:cs="Times New Roman"/>
        </w:rPr>
        <w:t xml:space="preserve"> I = Indian</w:t>
      </w:r>
      <w:r w:rsidR="00C84122">
        <w:rPr>
          <w:rFonts w:ascii="Times New Roman" w:eastAsia="Times New Roman" w:hAnsi="Times New Roman" w:cs="Times New Roman"/>
        </w:rPr>
        <w:t>;</w:t>
      </w:r>
      <w:r>
        <w:rPr>
          <w:rFonts w:ascii="Times New Roman" w:eastAsia="Times New Roman" w:hAnsi="Times New Roman" w:cs="Times New Roman"/>
        </w:rPr>
        <w:t xml:space="preserve"> W = White</w:t>
      </w:r>
    </w:p>
    <w:p w:rsidR="00D426C6" w:rsidRDefault="00D426C6" w:rsidP="00AE7588">
      <w:pPr>
        <w:pStyle w:val="Body"/>
        <w:spacing w:line="360" w:lineRule="auto"/>
        <w:ind w:left="426" w:right="737"/>
        <w:rPr>
          <w:rFonts w:ascii="Times New Roman" w:eastAsia="Times New Roman" w:hAnsi="Times New Roman" w:cs="Times New Roman"/>
        </w:rPr>
      </w:pPr>
      <w:r>
        <w:rPr>
          <w:rFonts w:ascii="Times New Roman"/>
          <w:b/>
          <w:bCs/>
        </w:rPr>
        <w:t xml:space="preserve">Axes: </w:t>
      </w:r>
      <w:r>
        <w:rPr>
          <w:rFonts w:ascii="Times New Roman"/>
          <w:b/>
          <w:bCs/>
        </w:rPr>
        <w:tab/>
      </w:r>
      <w:r w:rsidRPr="00362519">
        <w:rPr>
          <w:rFonts w:ascii="Times New Roman"/>
          <w:b/>
          <w:bCs/>
          <w:i/>
        </w:rPr>
        <w:t>x</w:t>
      </w:r>
      <w:r>
        <w:rPr>
          <w:rFonts w:ascii="Times New Roman"/>
        </w:rPr>
        <w:t xml:space="preserve">: </w:t>
      </w:r>
      <w:r w:rsidR="000F0474">
        <w:rPr>
          <w:rFonts w:ascii="Times New Roman"/>
        </w:rPr>
        <w:t>Consecutive</w:t>
      </w:r>
      <w:r>
        <w:rPr>
          <w:rFonts w:ascii="Times New Roman"/>
        </w:rPr>
        <w:t xml:space="preserve"> assessment marks from 1</w:t>
      </w:r>
      <w:r>
        <w:rPr>
          <w:rFonts w:ascii="Times New Roman"/>
          <w:vertAlign w:val="superscript"/>
        </w:rPr>
        <w:t>st</w:t>
      </w:r>
      <w:r>
        <w:rPr>
          <w:rFonts w:ascii="Times New Roman"/>
        </w:rPr>
        <w:t xml:space="preserve"> to 5</w:t>
      </w:r>
      <w:r>
        <w:rPr>
          <w:rFonts w:ascii="Times New Roman"/>
          <w:vertAlign w:val="superscript"/>
        </w:rPr>
        <w:t>th</w:t>
      </w:r>
      <w:r>
        <w:rPr>
          <w:rFonts w:ascii="Times New Roman"/>
        </w:rPr>
        <w:t xml:space="preserve"> year</w:t>
      </w:r>
      <w:r>
        <w:rPr>
          <w:rFonts w:ascii="Times New Roman" w:eastAsia="Times New Roman" w:hAnsi="Times New Roman" w:cs="Times New Roman"/>
        </w:rPr>
        <w:t xml:space="preserve"> </w:t>
      </w:r>
    </w:p>
    <w:p w:rsidR="00D426C6" w:rsidRDefault="00D426C6" w:rsidP="00AE7588">
      <w:pPr>
        <w:pStyle w:val="Body"/>
        <w:spacing w:line="360" w:lineRule="auto"/>
        <w:ind w:left="720" w:right="737" w:firstLine="720"/>
        <w:rPr>
          <w:rFonts w:ascii="Times New Roman"/>
        </w:rPr>
      </w:pPr>
      <w:proofErr w:type="gramStart"/>
      <w:r w:rsidRPr="00362519">
        <w:rPr>
          <w:rFonts w:ascii="Times New Roman"/>
          <w:b/>
          <w:bCs/>
          <w:i/>
        </w:rPr>
        <w:t>y</w:t>
      </w:r>
      <w:proofErr w:type="gramEnd"/>
      <w:r>
        <w:rPr>
          <w:rFonts w:ascii="Times New Roman"/>
        </w:rPr>
        <w:t xml:space="preserve">: Average </w:t>
      </w:r>
      <w:r w:rsidR="000F0474">
        <w:rPr>
          <w:rFonts w:ascii="Times New Roman"/>
        </w:rPr>
        <w:t xml:space="preserve">group </w:t>
      </w:r>
      <w:r>
        <w:rPr>
          <w:rFonts w:ascii="Times New Roman"/>
        </w:rPr>
        <w:t xml:space="preserve">marks (%) </w:t>
      </w:r>
      <w:r w:rsidR="000F0474">
        <w:rPr>
          <w:rFonts w:ascii="Times New Roman"/>
        </w:rPr>
        <w:t>for</w:t>
      </w:r>
      <w:r>
        <w:rPr>
          <w:rFonts w:ascii="Times New Roman"/>
        </w:rPr>
        <w:t xml:space="preserve"> each assessment </w:t>
      </w:r>
    </w:p>
    <w:p w:rsidR="00D91F65" w:rsidRPr="00DB6576" w:rsidRDefault="00C50C4E" w:rsidP="00AE7588">
      <w:pPr>
        <w:pStyle w:val="Body"/>
        <w:spacing w:before="100" w:after="100" w:line="360" w:lineRule="auto"/>
        <w:rPr>
          <w:rFonts w:ascii="Times New Roman"/>
        </w:rPr>
      </w:pPr>
      <w:r>
        <w:rPr>
          <w:rFonts w:ascii="Times New Roman"/>
        </w:rPr>
        <w:t>The graph does not clear</w:t>
      </w:r>
      <w:r w:rsidR="000F0474">
        <w:rPr>
          <w:rFonts w:ascii="Times New Roman"/>
        </w:rPr>
        <w:t>ly</w:t>
      </w:r>
      <w:r>
        <w:rPr>
          <w:rFonts w:ascii="Times New Roman"/>
        </w:rPr>
        <w:t xml:space="preserve"> distin</w:t>
      </w:r>
      <w:r w:rsidR="000F0474">
        <w:rPr>
          <w:rFonts w:ascii="Times New Roman"/>
        </w:rPr>
        <w:t>guish</w:t>
      </w:r>
      <w:r>
        <w:rPr>
          <w:rFonts w:ascii="Times New Roman"/>
        </w:rPr>
        <w:t>, but the GLM shows significant (</w:t>
      </w:r>
      <w:r w:rsidRPr="00DB6576">
        <w:rPr>
          <w:rFonts w:ascii="Times New Roman"/>
        </w:rPr>
        <w:t>p</w:t>
      </w:r>
      <w:r>
        <w:rPr>
          <w:rFonts w:ascii="Times New Roman"/>
        </w:rPr>
        <w:t xml:space="preserve"> &gt; 0.001) </w:t>
      </w:r>
      <w:r w:rsidR="000F0474">
        <w:rPr>
          <w:rFonts w:ascii="Times New Roman"/>
        </w:rPr>
        <w:t xml:space="preserve">differences </w:t>
      </w:r>
      <w:r w:rsidR="00C84122">
        <w:rPr>
          <w:rFonts w:ascii="Times New Roman"/>
        </w:rPr>
        <w:t xml:space="preserve">between </w:t>
      </w:r>
      <w:r>
        <w:rPr>
          <w:rFonts w:ascii="Times New Roman"/>
        </w:rPr>
        <w:t xml:space="preserve">the four </w:t>
      </w:r>
      <w:r w:rsidR="000F0474">
        <w:rPr>
          <w:rFonts w:ascii="Times New Roman"/>
        </w:rPr>
        <w:t>groups</w:t>
      </w:r>
      <w:r>
        <w:rPr>
          <w:rFonts w:ascii="Times New Roman"/>
        </w:rPr>
        <w:t xml:space="preserve">, </w:t>
      </w:r>
      <w:r w:rsidR="000F0474">
        <w:rPr>
          <w:rFonts w:ascii="Times New Roman"/>
        </w:rPr>
        <w:t>chiefly</w:t>
      </w:r>
      <w:r>
        <w:rPr>
          <w:rFonts w:ascii="Times New Roman"/>
        </w:rPr>
        <w:t xml:space="preserve"> between the </w:t>
      </w:r>
      <w:r w:rsidR="00C84122">
        <w:rPr>
          <w:rFonts w:ascii="Times New Roman"/>
        </w:rPr>
        <w:t xml:space="preserve">Black </w:t>
      </w:r>
      <w:r>
        <w:rPr>
          <w:rFonts w:ascii="Times New Roman"/>
        </w:rPr>
        <w:t xml:space="preserve">and Indian groups (post-hoc testing; </w:t>
      </w:r>
      <w:proofErr w:type="spellStart"/>
      <w:r>
        <w:rPr>
          <w:rFonts w:ascii="Times New Roman"/>
        </w:rPr>
        <w:t>Bonferroni</w:t>
      </w:r>
      <w:proofErr w:type="spellEnd"/>
      <w:r>
        <w:rPr>
          <w:rFonts w:ascii="Times New Roman"/>
        </w:rPr>
        <w:t>). Indian and white students</w:t>
      </w:r>
      <w:r w:rsidR="000F0474">
        <w:rPr>
          <w:rFonts w:ascii="Times New Roman"/>
        </w:rPr>
        <w:t>’</w:t>
      </w:r>
      <w:r w:rsidR="000F0474">
        <w:rPr>
          <w:rFonts w:ascii="Times New Roman"/>
        </w:rPr>
        <w:t xml:space="preserve"> marks </w:t>
      </w:r>
      <w:r>
        <w:rPr>
          <w:rFonts w:ascii="Times New Roman"/>
        </w:rPr>
        <w:t xml:space="preserve">tended to </w:t>
      </w:r>
      <w:r w:rsidR="000F0474">
        <w:rPr>
          <w:rFonts w:ascii="Times New Roman"/>
        </w:rPr>
        <w:t>lie</w:t>
      </w:r>
      <w:r>
        <w:rPr>
          <w:rFonts w:ascii="Times New Roman"/>
        </w:rPr>
        <w:t xml:space="preserve"> higher than those of </w:t>
      </w:r>
      <w:r w:rsidR="00C84122">
        <w:rPr>
          <w:rFonts w:ascii="Times New Roman"/>
        </w:rPr>
        <w:t xml:space="preserve">black </w:t>
      </w:r>
      <w:r>
        <w:rPr>
          <w:rFonts w:ascii="Times New Roman"/>
        </w:rPr>
        <w:t xml:space="preserve">and </w:t>
      </w:r>
      <w:proofErr w:type="spellStart"/>
      <w:r>
        <w:rPr>
          <w:rFonts w:ascii="Times New Roman"/>
        </w:rPr>
        <w:t>coloured</w:t>
      </w:r>
      <w:proofErr w:type="spellEnd"/>
      <w:r>
        <w:rPr>
          <w:rFonts w:ascii="Times New Roman"/>
        </w:rPr>
        <w:t xml:space="preserve"> students, although it is encouraging that the gap between the two groupings tended to narrow as the students progressed into the senior years. </w:t>
      </w:r>
    </w:p>
    <w:p w:rsidR="00D91F65" w:rsidRDefault="00C50C4E" w:rsidP="00AE7588">
      <w:pPr>
        <w:pStyle w:val="Body"/>
        <w:spacing w:before="100" w:after="100" w:line="360" w:lineRule="auto"/>
        <w:ind w:firstLine="426"/>
        <w:rPr>
          <w:rFonts w:ascii="Times New Roman" w:eastAsia="Times New Roman" w:hAnsi="Times New Roman" w:cs="Times New Roman"/>
        </w:rPr>
      </w:pPr>
      <w:r>
        <w:rPr>
          <w:rFonts w:ascii="Times New Roman"/>
        </w:rPr>
        <w:t xml:space="preserve">As one might anticipate in the post-apartheid era, the students and their teachers made </w:t>
      </w:r>
      <w:r w:rsidR="000F0474">
        <w:rPr>
          <w:rFonts w:ascii="Times New Roman"/>
        </w:rPr>
        <w:t>copious</w:t>
      </w:r>
      <w:r>
        <w:rPr>
          <w:rFonts w:ascii="Times New Roman"/>
        </w:rPr>
        <w:t xml:space="preserve"> comments about the </w:t>
      </w:r>
      <w:r w:rsidR="000F0474">
        <w:rPr>
          <w:rFonts w:ascii="Times New Roman"/>
        </w:rPr>
        <w:t>seeming</w:t>
      </w:r>
      <w:r>
        <w:rPr>
          <w:rFonts w:ascii="Times New Roman"/>
        </w:rPr>
        <w:t xml:space="preserve"> racial differences in marks. The</w:t>
      </w:r>
      <w:r w:rsidR="000F0474">
        <w:rPr>
          <w:rFonts w:ascii="Times New Roman"/>
        </w:rPr>
        <w:t>y ascribed the</w:t>
      </w:r>
      <w:r>
        <w:rPr>
          <w:rFonts w:ascii="Times New Roman"/>
        </w:rPr>
        <w:t xml:space="preserve">se </w:t>
      </w:r>
      <w:r>
        <w:rPr>
          <w:rFonts w:ascii="Times New Roman"/>
        </w:rPr>
        <w:lastRenderedPageBreak/>
        <w:t>differences to South Africa</w:t>
      </w:r>
      <w:r>
        <w:rPr>
          <w:rFonts w:hAnsi="Times New Roman"/>
        </w:rPr>
        <w:t>’</w:t>
      </w:r>
      <w:r>
        <w:rPr>
          <w:rFonts w:ascii="Times New Roman"/>
        </w:rPr>
        <w:t xml:space="preserve">s </w:t>
      </w:r>
      <w:r w:rsidR="000F0474">
        <w:rPr>
          <w:rFonts w:ascii="Times New Roman"/>
        </w:rPr>
        <w:t>unequal</w:t>
      </w:r>
      <w:r>
        <w:rPr>
          <w:rFonts w:ascii="Times New Roman"/>
        </w:rPr>
        <w:t xml:space="preserve"> allocation of </w:t>
      </w:r>
      <w:r w:rsidR="000F0474">
        <w:rPr>
          <w:rFonts w:ascii="Times New Roman"/>
        </w:rPr>
        <w:t xml:space="preserve">resources to </w:t>
      </w:r>
      <w:r>
        <w:rPr>
          <w:rFonts w:ascii="Times New Roman"/>
        </w:rPr>
        <w:t>primary and secondary education.</w:t>
      </w:r>
    </w:p>
    <w:p w:rsidR="00D91F65" w:rsidRPr="0025112E" w:rsidRDefault="00C50C4E" w:rsidP="00AE7588">
      <w:pPr>
        <w:pStyle w:val="Quote"/>
        <w:rPr>
          <w:rFonts w:ascii="Calibri" w:eastAsia="Times New Roman" w:hAnsi="Calibri" w:cs="Times New Roman"/>
          <w:sz w:val="24"/>
          <w:szCs w:val="24"/>
        </w:rPr>
      </w:pPr>
      <w:r w:rsidRPr="0025112E">
        <w:rPr>
          <w:rFonts w:ascii="Calibri" w:hAnsi="Calibri"/>
          <w:sz w:val="24"/>
          <w:szCs w:val="24"/>
        </w:rPr>
        <w:t xml:space="preserve">Well – who were the people most affected by apartheid? </w:t>
      </w:r>
      <w:r w:rsidRPr="0025112E">
        <w:rPr>
          <w:rFonts w:ascii="Calibri" w:hAnsi="Calibri"/>
          <w:i/>
          <w:iCs/>
          <w:sz w:val="24"/>
          <w:szCs w:val="24"/>
        </w:rPr>
        <w:t>Those</w:t>
      </w:r>
      <w:r w:rsidRPr="0025112E">
        <w:rPr>
          <w:rFonts w:ascii="Calibri" w:hAnsi="Calibri"/>
          <w:sz w:val="24"/>
          <w:szCs w:val="24"/>
        </w:rPr>
        <w:t xml:space="preserve"> two groups. [African and </w:t>
      </w:r>
      <w:proofErr w:type="spellStart"/>
      <w:r w:rsidRPr="0025112E">
        <w:rPr>
          <w:rFonts w:ascii="Calibri" w:hAnsi="Calibri"/>
          <w:sz w:val="24"/>
          <w:szCs w:val="24"/>
        </w:rPr>
        <w:t>coloured</w:t>
      </w:r>
      <w:proofErr w:type="spellEnd"/>
      <w:r w:rsidRPr="0025112E">
        <w:rPr>
          <w:rFonts w:ascii="Calibri" w:hAnsi="Calibri"/>
          <w:sz w:val="24"/>
          <w:szCs w:val="24"/>
        </w:rPr>
        <w:t xml:space="preserve">?] Definitely. They were the most dispossessed. [So you think this is a wash-over effect still?] Definitely. [After all those years?] Absolutely. </w:t>
      </w:r>
      <w:r w:rsidRPr="0025112E">
        <w:rPr>
          <w:rFonts w:ascii="Calibri" w:eastAsia="Times New Roman" w:hAnsi="Calibri" w:cs="Times New Roman"/>
          <w:sz w:val="24"/>
          <w:szCs w:val="24"/>
        </w:rPr>
        <w:tab/>
      </w:r>
      <w:r w:rsidR="002235EF">
        <w:rPr>
          <w:rFonts w:ascii="Calibri" w:eastAsia="Times New Roman" w:hAnsi="Calibri" w:cs="Times New Roman"/>
          <w:sz w:val="24"/>
          <w:szCs w:val="24"/>
        </w:rPr>
        <w:tab/>
      </w:r>
      <w:r w:rsidR="002235EF">
        <w:rPr>
          <w:rFonts w:ascii="Calibri" w:eastAsia="Times New Roman" w:hAnsi="Calibri" w:cs="Times New Roman"/>
          <w:sz w:val="24"/>
          <w:szCs w:val="24"/>
        </w:rPr>
        <w:tab/>
      </w:r>
      <w:r w:rsidR="002235EF">
        <w:rPr>
          <w:rFonts w:ascii="Calibri" w:eastAsia="Times New Roman" w:hAnsi="Calibri" w:cs="Times New Roman"/>
          <w:sz w:val="24"/>
          <w:szCs w:val="24"/>
        </w:rPr>
        <w:tab/>
      </w:r>
      <w:r w:rsidR="002235EF">
        <w:rPr>
          <w:rFonts w:ascii="Calibri" w:eastAsia="Times New Roman" w:hAnsi="Calibri" w:cs="Times New Roman"/>
          <w:sz w:val="24"/>
          <w:szCs w:val="24"/>
        </w:rPr>
        <w:tab/>
      </w:r>
      <w:r w:rsidR="002235EF">
        <w:rPr>
          <w:rFonts w:ascii="Calibri" w:eastAsia="Times New Roman" w:hAnsi="Calibri" w:cs="Times New Roman"/>
          <w:sz w:val="24"/>
          <w:szCs w:val="24"/>
        </w:rPr>
        <w:tab/>
      </w:r>
      <w:r w:rsidR="007F59A2">
        <w:rPr>
          <w:rFonts w:ascii="Calibri" w:eastAsia="Times New Roman" w:hAnsi="Calibri" w:cs="Times New Roman"/>
          <w:sz w:val="24"/>
          <w:szCs w:val="24"/>
        </w:rPr>
        <w:tab/>
      </w:r>
      <w:r w:rsidR="007F59A2">
        <w:rPr>
          <w:rFonts w:ascii="Calibri" w:eastAsia="Times New Roman" w:hAnsi="Calibri" w:cs="Times New Roman"/>
          <w:sz w:val="24"/>
          <w:szCs w:val="24"/>
        </w:rPr>
        <w:tab/>
      </w:r>
      <w:r w:rsidRPr="0025112E">
        <w:rPr>
          <w:rFonts w:ascii="Calibri" w:hAnsi="Calibri"/>
          <w:sz w:val="24"/>
          <w:szCs w:val="24"/>
        </w:rPr>
        <w:t xml:space="preserve">Kevin </w:t>
      </w:r>
    </w:p>
    <w:p w:rsidR="00D91F65" w:rsidRDefault="008C1B9C" w:rsidP="00AE7588">
      <w:pPr>
        <w:pStyle w:val="Body"/>
        <w:spacing w:before="100" w:after="100" w:line="360" w:lineRule="auto"/>
        <w:rPr>
          <w:rFonts w:ascii="Times New Roman" w:eastAsia="Times New Roman" w:hAnsi="Times New Roman" w:cs="Times New Roman"/>
        </w:rPr>
      </w:pPr>
      <w:r>
        <w:rPr>
          <w:rFonts w:ascii="Times New Roman"/>
        </w:rPr>
        <w:t>T</w:t>
      </w:r>
      <w:r w:rsidR="00C50C4E">
        <w:rPr>
          <w:rFonts w:ascii="Times New Roman"/>
        </w:rPr>
        <w:t xml:space="preserve">hat race itself </w:t>
      </w:r>
      <w:r>
        <w:rPr>
          <w:rFonts w:ascii="Times New Roman"/>
        </w:rPr>
        <w:t>gave rise to</w:t>
      </w:r>
      <w:r w:rsidR="00C50C4E">
        <w:rPr>
          <w:rFonts w:ascii="Times New Roman"/>
        </w:rPr>
        <w:t xml:space="preserve"> the differences in the graphs</w:t>
      </w:r>
      <w:r>
        <w:rPr>
          <w:rFonts w:ascii="Times New Roman"/>
        </w:rPr>
        <w:t xml:space="preserve"> was universally rejected</w:t>
      </w:r>
      <w:r w:rsidR="00C50C4E">
        <w:rPr>
          <w:rFonts w:ascii="Times New Roman"/>
        </w:rPr>
        <w:t xml:space="preserve">. </w:t>
      </w:r>
    </w:p>
    <w:p w:rsidR="00D91F65" w:rsidRPr="0025112E" w:rsidRDefault="00C50C4E" w:rsidP="00AE7588">
      <w:pPr>
        <w:pStyle w:val="Quote"/>
        <w:rPr>
          <w:rFonts w:ascii="Calibri" w:eastAsia="Times New Roman" w:hAnsi="Calibri" w:cs="Times New Roman"/>
          <w:sz w:val="24"/>
          <w:szCs w:val="24"/>
        </w:rPr>
      </w:pPr>
      <w:r w:rsidRPr="0025112E">
        <w:rPr>
          <w:rFonts w:ascii="Calibri" w:hAnsi="Calibri"/>
          <w:sz w:val="24"/>
          <w:szCs w:val="24"/>
        </w:rPr>
        <w:t>[Y]</w:t>
      </w:r>
      <w:proofErr w:type="spellStart"/>
      <w:r w:rsidRPr="0025112E">
        <w:rPr>
          <w:rFonts w:ascii="Calibri" w:hAnsi="Calibri"/>
          <w:sz w:val="24"/>
          <w:szCs w:val="24"/>
        </w:rPr>
        <w:t>ou</w:t>
      </w:r>
      <w:proofErr w:type="spellEnd"/>
      <w:r w:rsidRPr="0025112E">
        <w:rPr>
          <w:rFonts w:ascii="Calibri" w:hAnsi="Calibri"/>
          <w:sz w:val="24"/>
          <w:szCs w:val="24"/>
        </w:rPr>
        <w:t xml:space="preserve"> have such a mixed group of people, you know, and, um – </w:t>
      </w:r>
      <w:r w:rsidRPr="0025112E">
        <w:rPr>
          <w:rFonts w:ascii="Calibri" w:hAnsi="Calibri"/>
          <w:i/>
          <w:iCs/>
          <w:sz w:val="24"/>
          <w:szCs w:val="24"/>
        </w:rPr>
        <w:t>ja</w:t>
      </w:r>
      <w:r w:rsidRPr="0025112E">
        <w:rPr>
          <w:rFonts w:ascii="Calibri" w:hAnsi="Calibri"/>
          <w:sz w:val="24"/>
          <w:szCs w:val="24"/>
        </w:rPr>
        <w:t xml:space="preserve">, mixed group of people from different backgrounds, with different ambitions in life, and we’re like twenty-first century now, thinking modern I think, and – I don’t know – I just don’t see what I see here [in the graph] being reflected in the class that we have.  </w:t>
      </w:r>
      <w:r w:rsidRPr="0025112E">
        <w:rPr>
          <w:rFonts w:ascii="Calibri" w:hAnsi="Calibri"/>
          <w:sz w:val="24"/>
          <w:szCs w:val="24"/>
        </w:rPr>
        <w:tab/>
      </w:r>
      <w:r w:rsidRPr="0025112E">
        <w:rPr>
          <w:rFonts w:ascii="Calibri" w:hAnsi="Calibri"/>
          <w:sz w:val="24"/>
          <w:szCs w:val="24"/>
        </w:rPr>
        <w:tab/>
      </w:r>
      <w:r w:rsidRPr="0025112E">
        <w:rPr>
          <w:rFonts w:ascii="Calibri" w:hAnsi="Calibri"/>
          <w:sz w:val="24"/>
          <w:szCs w:val="24"/>
        </w:rPr>
        <w:tab/>
      </w:r>
      <w:r w:rsidRPr="0025112E">
        <w:rPr>
          <w:rFonts w:ascii="Calibri" w:hAnsi="Calibri"/>
          <w:sz w:val="24"/>
          <w:szCs w:val="24"/>
        </w:rPr>
        <w:tab/>
      </w:r>
      <w:r w:rsidRPr="0025112E">
        <w:rPr>
          <w:rFonts w:ascii="Calibri" w:eastAsia="Times New Roman" w:hAnsi="Calibri" w:cs="Times New Roman"/>
          <w:sz w:val="24"/>
          <w:szCs w:val="24"/>
        </w:rPr>
        <w:tab/>
      </w:r>
      <w:r w:rsidR="007F59A2">
        <w:rPr>
          <w:rFonts w:ascii="Calibri" w:eastAsia="Times New Roman" w:hAnsi="Calibri" w:cs="Times New Roman"/>
          <w:sz w:val="24"/>
          <w:szCs w:val="24"/>
        </w:rPr>
        <w:tab/>
      </w:r>
      <w:r w:rsidR="007F59A2">
        <w:rPr>
          <w:rFonts w:ascii="Calibri" w:eastAsia="Times New Roman" w:hAnsi="Calibri" w:cs="Times New Roman"/>
          <w:sz w:val="24"/>
          <w:szCs w:val="24"/>
        </w:rPr>
        <w:tab/>
      </w:r>
      <w:proofErr w:type="spellStart"/>
      <w:r w:rsidRPr="0025112E">
        <w:rPr>
          <w:rFonts w:ascii="Calibri" w:hAnsi="Calibri"/>
          <w:sz w:val="24"/>
          <w:szCs w:val="24"/>
        </w:rPr>
        <w:t>Osane</w:t>
      </w:r>
      <w:proofErr w:type="spellEnd"/>
      <w:r w:rsidRPr="0025112E">
        <w:rPr>
          <w:rFonts w:ascii="Calibri" w:hAnsi="Calibri"/>
          <w:sz w:val="24"/>
          <w:szCs w:val="24"/>
        </w:rPr>
        <w:t xml:space="preserve"> </w:t>
      </w:r>
    </w:p>
    <w:p w:rsidR="00D91F65" w:rsidRDefault="00C50C4E" w:rsidP="00AE7588">
      <w:pPr>
        <w:pStyle w:val="Body"/>
        <w:spacing w:before="100" w:after="100" w:line="360" w:lineRule="auto"/>
        <w:rPr>
          <w:rFonts w:ascii="Times New Roman" w:eastAsia="Times New Roman" w:hAnsi="Times New Roman" w:cs="Times New Roman"/>
        </w:rPr>
      </w:pPr>
      <w:r>
        <w:rPr>
          <w:rFonts w:ascii="Times New Roman"/>
        </w:rPr>
        <w:t xml:space="preserve">Dr </w:t>
      </w:r>
      <w:proofErr w:type="spellStart"/>
      <w:r>
        <w:rPr>
          <w:rFonts w:ascii="Times New Roman"/>
        </w:rPr>
        <w:t>Hlubi</w:t>
      </w:r>
      <w:proofErr w:type="spellEnd"/>
      <w:r w:rsidR="00351A4F">
        <w:rPr>
          <w:rFonts w:ascii="Times New Roman"/>
        </w:rPr>
        <w:t>,</w:t>
      </w:r>
      <w:r>
        <w:rPr>
          <w:rFonts w:ascii="Times New Roman"/>
        </w:rPr>
        <w:t xml:space="preserve"> reject</w:t>
      </w:r>
      <w:r w:rsidR="00351A4F">
        <w:rPr>
          <w:rFonts w:ascii="Times New Roman"/>
        </w:rPr>
        <w:t>ing</w:t>
      </w:r>
      <w:r>
        <w:rPr>
          <w:rFonts w:ascii="Times New Roman"/>
        </w:rPr>
        <w:t xml:space="preserve"> </w:t>
      </w:r>
      <w:r>
        <w:rPr>
          <w:rFonts w:hAnsi="Times New Roman"/>
        </w:rPr>
        <w:t>‘</w:t>
      </w:r>
      <w:proofErr w:type="spellStart"/>
      <w:r>
        <w:rPr>
          <w:rFonts w:ascii="Times New Roman"/>
        </w:rPr>
        <w:t>disadvantage</w:t>
      </w:r>
      <w:r>
        <w:rPr>
          <w:rFonts w:hAnsi="Times New Roman"/>
        </w:rPr>
        <w:t>’</w:t>
      </w:r>
      <w:r w:rsidR="00351A4F">
        <w:rPr>
          <w:rFonts w:hAnsi="Times New Roman"/>
        </w:rPr>
        <w:t>as</w:t>
      </w:r>
      <w:proofErr w:type="spellEnd"/>
      <w:r w:rsidR="00351A4F">
        <w:rPr>
          <w:rFonts w:hAnsi="Times New Roman"/>
        </w:rPr>
        <w:t xml:space="preserve"> an explanation,</w:t>
      </w:r>
      <w:r>
        <w:rPr>
          <w:rFonts w:ascii="Times New Roman"/>
        </w:rPr>
        <w:t xml:space="preserve"> ascribed different achievement</w:t>
      </w:r>
      <w:r w:rsidR="00351A4F">
        <w:rPr>
          <w:rFonts w:ascii="Times New Roman"/>
        </w:rPr>
        <w:t xml:space="preserve"> in assessments</w:t>
      </w:r>
      <w:r>
        <w:rPr>
          <w:rFonts w:ascii="Times New Roman"/>
        </w:rPr>
        <w:t xml:space="preserve"> to different </w:t>
      </w:r>
      <w:r w:rsidR="00351A4F">
        <w:rPr>
          <w:rFonts w:ascii="Times New Roman"/>
        </w:rPr>
        <w:t>extents</w:t>
      </w:r>
      <w:r>
        <w:rPr>
          <w:rFonts w:ascii="Times New Roman"/>
        </w:rPr>
        <w:t xml:space="preserve"> of academic effort, </w:t>
      </w:r>
      <w:r w:rsidR="00351A4F">
        <w:rPr>
          <w:rFonts w:ascii="Times New Roman"/>
        </w:rPr>
        <w:t>granting</w:t>
      </w:r>
      <w:r>
        <w:rPr>
          <w:rFonts w:ascii="Times New Roman"/>
        </w:rPr>
        <w:t xml:space="preserve"> that Africans have more socioeconomic </w:t>
      </w:r>
      <w:r w:rsidR="00351A4F">
        <w:rPr>
          <w:rFonts w:ascii="Times New Roman"/>
        </w:rPr>
        <w:t>difficulties</w:t>
      </w:r>
      <w:r>
        <w:rPr>
          <w:rFonts w:ascii="Times New Roman"/>
        </w:rPr>
        <w:t xml:space="preserve"> than others.</w:t>
      </w:r>
    </w:p>
    <w:p w:rsidR="00D91F65" w:rsidRPr="0025112E" w:rsidRDefault="00C50C4E" w:rsidP="00AE7588">
      <w:pPr>
        <w:pStyle w:val="Quote"/>
        <w:rPr>
          <w:rFonts w:ascii="Calibri" w:eastAsia="Times New Roman" w:hAnsi="Calibri" w:cs="Times New Roman"/>
          <w:sz w:val="24"/>
          <w:szCs w:val="24"/>
        </w:rPr>
      </w:pPr>
      <w:r w:rsidRPr="0025112E">
        <w:rPr>
          <w:rFonts w:ascii="Calibri" w:hAnsi="Calibri"/>
          <w:sz w:val="24"/>
          <w:szCs w:val="24"/>
        </w:rPr>
        <w:t xml:space="preserve">I think – um – it is to do with perhaps motivation, or hard work – um – I don’t think it has to do with disadvantage. ... I know that there are students who have issues: financial issues; they’ve got problems at home, family problems at home and all that, and that tends to happen [more] with African students – [Mm] – than </w:t>
      </w:r>
      <w:r w:rsidR="00C84122">
        <w:rPr>
          <w:rFonts w:ascii="Calibri" w:hAnsi="Calibri"/>
          <w:sz w:val="24"/>
          <w:szCs w:val="24"/>
        </w:rPr>
        <w:t>w</w:t>
      </w:r>
      <w:r w:rsidRPr="0025112E">
        <w:rPr>
          <w:rFonts w:ascii="Calibri" w:hAnsi="Calibri"/>
          <w:sz w:val="24"/>
          <w:szCs w:val="24"/>
        </w:rPr>
        <w:t>hite and Indian students.</w:t>
      </w:r>
      <w:r w:rsidRPr="0025112E">
        <w:rPr>
          <w:rFonts w:ascii="Calibri" w:hAnsi="Calibri"/>
          <w:sz w:val="24"/>
          <w:szCs w:val="24"/>
        </w:rPr>
        <w:tab/>
      </w:r>
      <w:r w:rsidRPr="0025112E">
        <w:rPr>
          <w:rFonts w:ascii="Calibri" w:eastAsia="Times New Roman" w:hAnsi="Calibri" w:cs="Times New Roman"/>
          <w:sz w:val="24"/>
          <w:szCs w:val="24"/>
        </w:rPr>
        <w:tab/>
      </w:r>
      <w:r w:rsidR="007F59A2">
        <w:rPr>
          <w:rFonts w:ascii="Calibri" w:eastAsia="Times New Roman" w:hAnsi="Calibri" w:cs="Times New Roman"/>
          <w:sz w:val="24"/>
          <w:szCs w:val="24"/>
        </w:rPr>
        <w:tab/>
      </w:r>
      <w:r w:rsidR="007F59A2">
        <w:rPr>
          <w:rFonts w:ascii="Calibri" w:eastAsia="Times New Roman" w:hAnsi="Calibri" w:cs="Times New Roman"/>
          <w:sz w:val="24"/>
          <w:szCs w:val="24"/>
        </w:rPr>
        <w:tab/>
      </w:r>
      <w:r w:rsidRPr="0025112E">
        <w:rPr>
          <w:rFonts w:ascii="Calibri" w:hAnsi="Calibri"/>
          <w:sz w:val="24"/>
          <w:szCs w:val="24"/>
        </w:rPr>
        <w:t xml:space="preserve">Dr </w:t>
      </w:r>
      <w:proofErr w:type="spellStart"/>
      <w:r w:rsidRPr="0025112E">
        <w:rPr>
          <w:rFonts w:ascii="Calibri" w:hAnsi="Calibri"/>
          <w:sz w:val="24"/>
          <w:szCs w:val="24"/>
        </w:rPr>
        <w:t>Hlubi</w:t>
      </w:r>
      <w:proofErr w:type="spellEnd"/>
      <w:r w:rsidRPr="0025112E">
        <w:rPr>
          <w:rFonts w:ascii="Calibri" w:hAnsi="Calibri"/>
          <w:sz w:val="24"/>
          <w:szCs w:val="24"/>
        </w:rPr>
        <w:t xml:space="preserve"> </w:t>
      </w:r>
    </w:p>
    <w:p w:rsidR="00D91F65" w:rsidRDefault="00C50C4E" w:rsidP="00710E83">
      <w:pPr>
        <w:pStyle w:val="Body"/>
        <w:spacing w:before="100" w:after="100" w:line="360" w:lineRule="auto"/>
        <w:rPr>
          <w:rFonts w:ascii="Times New Roman" w:eastAsia="Times New Roman" w:hAnsi="Times New Roman" w:cs="Times New Roman"/>
        </w:rPr>
      </w:pPr>
      <w:r>
        <w:rPr>
          <w:rFonts w:ascii="Times New Roman"/>
        </w:rPr>
        <w:t xml:space="preserve">Susan raised </w:t>
      </w:r>
      <w:r w:rsidR="00351A4F">
        <w:rPr>
          <w:rFonts w:ascii="Times New Roman"/>
        </w:rPr>
        <w:t>comparable</w:t>
      </w:r>
      <w:r>
        <w:rPr>
          <w:rFonts w:ascii="Times New Roman"/>
        </w:rPr>
        <w:t xml:space="preserve"> issues.</w:t>
      </w:r>
    </w:p>
    <w:p w:rsidR="00D91F65" w:rsidRPr="0025112E" w:rsidRDefault="00C50C4E" w:rsidP="00AE7588">
      <w:pPr>
        <w:pStyle w:val="Quote"/>
        <w:rPr>
          <w:rFonts w:ascii="Calibri" w:eastAsia="Times New Roman" w:hAnsi="Calibri" w:cs="Times New Roman"/>
          <w:sz w:val="24"/>
          <w:szCs w:val="24"/>
        </w:rPr>
      </w:pPr>
      <w:r w:rsidRPr="0025112E">
        <w:rPr>
          <w:rFonts w:ascii="Calibri" w:hAnsi="Calibri"/>
          <w:sz w:val="24"/>
          <w:szCs w:val="24"/>
        </w:rPr>
        <w:t xml:space="preserve">[Indian and </w:t>
      </w:r>
      <w:r w:rsidR="00C84122">
        <w:rPr>
          <w:rFonts w:ascii="Calibri" w:hAnsi="Calibri"/>
          <w:sz w:val="24"/>
          <w:szCs w:val="24"/>
        </w:rPr>
        <w:t>w</w:t>
      </w:r>
      <w:r w:rsidRPr="0025112E">
        <w:rPr>
          <w:rFonts w:ascii="Calibri" w:hAnsi="Calibri"/>
          <w:sz w:val="24"/>
          <w:szCs w:val="24"/>
        </w:rPr>
        <w:t>hite students] tend to have less responsibilities because they’re more well off, and other students might have a lot more on their plates than anyone in those other two lines.</w:t>
      </w:r>
      <w:r w:rsidRPr="0025112E">
        <w:rPr>
          <w:rFonts w:ascii="Calibri" w:hAnsi="Calibri"/>
          <w:sz w:val="24"/>
          <w:szCs w:val="24"/>
        </w:rPr>
        <w:tab/>
      </w:r>
      <w:r w:rsidRPr="0025112E">
        <w:rPr>
          <w:rFonts w:ascii="Calibri" w:hAnsi="Calibri"/>
          <w:sz w:val="24"/>
          <w:szCs w:val="24"/>
        </w:rPr>
        <w:tab/>
      </w:r>
      <w:r w:rsidRPr="0025112E">
        <w:rPr>
          <w:rFonts w:ascii="Calibri" w:eastAsia="Times New Roman" w:hAnsi="Calibri" w:cs="Times New Roman"/>
          <w:sz w:val="24"/>
          <w:szCs w:val="24"/>
        </w:rPr>
        <w:tab/>
      </w:r>
      <w:r w:rsidR="007F59A2">
        <w:rPr>
          <w:rFonts w:ascii="Calibri" w:eastAsia="Times New Roman" w:hAnsi="Calibri" w:cs="Times New Roman"/>
          <w:sz w:val="24"/>
          <w:szCs w:val="24"/>
        </w:rPr>
        <w:tab/>
      </w:r>
      <w:r w:rsidR="007F59A2">
        <w:rPr>
          <w:rFonts w:ascii="Calibri" w:eastAsia="Times New Roman" w:hAnsi="Calibri" w:cs="Times New Roman"/>
          <w:sz w:val="24"/>
          <w:szCs w:val="24"/>
        </w:rPr>
        <w:tab/>
      </w:r>
      <w:r w:rsidRPr="0025112E">
        <w:rPr>
          <w:rFonts w:ascii="Calibri" w:hAnsi="Calibri"/>
          <w:sz w:val="24"/>
          <w:szCs w:val="24"/>
        </w:rPr>
        <w:t xml:space="preserve">Susan </w:t>
      </w:r>
    </w:p>
    <w:p w:rsidR="00D91F65" w:rsidRDefault="00C50C4E" w:rsidP="00AE7588">
      <w:pPr>
        <w:pStyle w:val="Body"/>
        <w:spacing w:before="100" w:after="100" w:line="360" w:lineRule="auto"/>
        <w:rPr>
          <w:rFonts w:ascii="Times New Roman" w:eastAsia="Times New Roman" w:hAnsi="Times New Roman" w:cs="Times New Roman"/>
        </w:rPr>
      </w:pPr>
      <w:r>
        <w:rPr>
          <w:rFonts w:ascii="Times New Roman"/>
        </w:rPr>
        <w:t xml:space="preserve">Ahmed suggested that </w:t>
      </w:r>
      <w:r w:rsidR="00422E89">
        <w:rPr>
          <w:rFonts w:ascii="Times New Roman"/>
        </w:rPr>
        <w:t>one</w:t>
      </w:r>
      <w:r w:rsidR="00422E89">
        <w:rPr>
          <w:rFonts w:ascii="Times New Roman"/>
        </w:rPr>
        <w:t>’</w:t>
      </w:r>
      <w:r w:rsidR="00422E89">
        <w:rPr>
          <w:rFonts w:ascii="Times New Roman"/>
        </w:rPr>
        <w:t>s</w:t>
      </w:r>
      <w:r>
        <w:rPr>
          <w:rFonts w:hAnsi="Times New Roman"/>
        </w:rPr>
        <w:t xml:space="preserve"> </w:t>
      </w:r>
      <w:r>
        <w:rPr>
          <w:rFonts w:ascii="Times New Roman"/>
        </w:rPr>
        <w:t>childhood background</w:t>
      </w:r>
      <w:r w:rsidR="00422E89">
        <w:rPr>
          <w:rFonts w:ascii="Times New Roman"/>
        </w:rPr>
        <w:t xml:space="preserve"> might play a role, while</w:t>
      </w:r>
      <w:r>
        <w:rPr>
          <w:rFonts w:ascii="Times New Roman"/>
        </w:rPr>
        <w:t xml:space="preserve"> </w:t>
      </w:r>
      <w:proofErr w:type="spellStart"/>
      <w:r w:rsidR="00895917">
        <w:rPr>
          <w:rFonts w:ascii="Times New Roman"/>
        </w:rPr>
        <w:t>Zodwa</w:t>
      </w:r>
      <w:proofErr w:type="spellEnd"/>
      <w:r w:rsidR="00895917">
        <w:rPr>
          <w:rFonts w:ascii="Times New Roman"/>
        </w:rPr>
        <w:t xml:space="preserve"> </w:t>
      </w:r>
      <w:r>
        <w:rPr>
          <w:rFonts w:ascii="Times New Roman"/>
        </w:rPr>
        <w:t xml:space="preserve">and </w:t>
      </w:r>
      <w:r w:rsidR="00895917">
        <w:rPr>
          <w:rFonts w:ascii="Times New Roman"/>
        </w:rPr>
        <w:t xml:space="preserve">Susan </w:t>
      </w:r>
      <w:r>
        <w:rPr>
          <w:rFonts w:ascii="Times New Roman"/>
        </w:rPr>
        <w:t xml:space="preserve">suggested that background </w:t>
      </w:r>
      <w:r w:rsidR="00422E89">
        <w:rPr>
          <w:rFonts w:ascii="Times New Roman"/>
        </w:rPr>
        <w:t>affects one</w:t>
      </w:r>
      <w:r w:rsidR="00422E89">
        <w:rPr>
          <w:rFonts w:ascii="Times New Roman"/>
        </w:rPr>
        <w:t>’</w:t>
      </w:r>
      <w:r w:rsidR="00422E89">
        <w:rPr>
          <w:rFonts w:ascii="Times New Roman"/>
        </w:rPr>
        <w:t>s thinking</w:t>
      </w:r>
      <w:r>
        <w:rPr>
          <w:rFonts w:ascii="Times New Roman"/>
        </w:rPr>
        <w:t>.</w:t>
      </w:r>
    </w:p>
    <w:p w:rsidR="00D91F65" w:rsidRPr="0025112E" w:rsidRDefault="00C50C4E" w:rsidP="00AE7588">
      <w:pPr>
        <w:pStyle w:val="Quote"/>
        <w:rPr>
          <w:rFonts w:ascii="Calibri" w:eastAsia="Times New Roman" w:hAnsi="Calibri" w:cs="Times New Roman"/>
          <w:sz w:val="24"/>
          <w:szCs w:val="24"/>
        </w:rPr>
      </w:pPr>
      <w:r w:rsidRPr="0025112E">
        <w:rPr>
          <w:rFonts w:ascii="Calibri" w:hAnsi="Calibri"/>
          <w:sz w:val="24"/>
          <w:szCs w:val="24"/>
        </w:rPr>
        <w:t xml:space="preserve">I think like everyone has that ability to develop normally – you know, like – this, it’s rather, rather than it’s because of the race that you’re getting these </w:t>
      </w:r>
      <w:r w:rsidRPr="0025112E">
        <w:rPr>
          <w:rFonts w:ascii="Calibri" w:hAnsi="Calibri"/>
          <w:sz w:val="24"/>
          <w:szCs w:val="24"/>
        </w:rPr>
        <w:lastRenderedPageBreak/>
        <w:t>graphs, it’s because of how you’re influenced from small. Maybe there’s some environmental factors.</w:t>
      </w:r>
      <w:r w:rsidRPr="0025112E">
        <w:rPr>
          <w:rFonts w:ascii="Calibri" w:hAnsi="Calibri"/>
          <w:sz w:val="24"/>
          <w:szCs w:val="24"/>
        </w:rPr>
        <w:tab/>
      </w:r>
      <w:r w:rsidRPr="0025112E">
        <w:rPr>
          <w:rFonts w:ascii="Calibri" w:hAnsi="Calibri"/>
          <w:sz w:val="24"/>
          <w:szCs w:val="24"/>
        </w:rPr>
        <w:tab/>
      </w:r>
      <w:r w:rsidRPr="0025112E">
        <w:rPr>
          <w:rFonts w:ascii="Calibri" w:hAnsi="Calibri"/>
          <w:sz w:val="24"/>
          <w:szCs w:val="24"/>
        </w:rPr>
        <w:tab/>
      </w:r>
      <w:r w:rsidRPr="0025112E">
        <w:rPr>
          <w:rFonts w:ascii="Calibri" w:hAnsi="Calibri"/>
          <w:sz w:val="24"/>
          <w:szCs w:val="24"/>
        </w:rPr>
        <w:tab/>
      </w:r>
      <w:r w:rsidR="007F59A2">
        <w:rPr>
          <w:rFonts w:ascii="Calibri" w:hAnsi="Calibri"/>
          <w:sz w:val="24"/>
          <w:szCs w:val="24"/>
        </w:rPr>
        <w:tab/>
      </w:r>
      <w:r w:rsidR="007F59A2">
        <w:rPr>
          <w:rFonts w:ascii="Calibri" w:hAnsi="Calibri"/>
          <w:sz w:val="24"/>
          <w:szCs w:val="24"/>
        </w:rPr>
        <w:tab/>
      </w:r>
      <w:r w:rsidRPr="0025112E">
        <w:rPr>
          <w:rFonts w:ascii="Calibri" w:hAnsi="Calibri"/>
          <w:sz w:val="24"/>
          <w:szCs w:val="24"/>
        </w:rPr>
        <w:t xml:space="preserve">Ahmed </w:t>
      </w:r>
    </w:p>
    <w:p w:rsidR="00895917" w:rsidRPr="0025112E" w:rsidRDefault="00895917" w:rsidP="00895917">
      <w:pPr>
        <w:pStyle w:val="Quote"/>
        <w:rPr>
          <w:rFonts w:ascii="Calibri" w:eastAsia="Times New Roman" w:hAnsi="Calibri" w:cs="Times New Roman"/>
          <w:sz w:val="24"/>
          <w:szCs w:val="24"/>
        </w:rPr>
      </w:pPr>
      <w:r w:rsidRPr="0025112E">
        <w:rPr>
          <w:rFonts w:ascii="Calibri" w:hAnsi="Calibri"/>
          <w:sz w:val="24"/>
          <w:szCs w:val="24"/>
        </w:rPr>
        <w:t>I’ve been around white families and they let their children really think abstract and not just think [gesture] ‘box’ – this is the box and this is how far the box goes; you can’t open the box; it can’t be flat – it’s just a box; it’s made to carry stuff; you can’t do anything more than with a box. You’re not taught to think beyond what the box can do for you.</w:t>
      </w:r>
      <w:r w:rsidRPr="0025112E">
        <w:rPr>
          <w:rFonts w:ascii="Calibri" w:hAnsi="Calibri"/>
          <w:sz w:val="24"/>
          <w:szCs w:val="24"/>
        </w:rPr>
        <w:tab/>
      </w:r>
      <w:r w:rsidRPr="0025112E">
        <w:rPr>
          <w:rFonts w:ascii="Calibri" w:hAnsi="Calibri"/>
          <w:sz w:val="24"/>
          <w:szCs w:val="24"/>
        </w:rPr>
        <w:tab/>
      </w:r>
      <w:r w:rsidR="007F59A2">
        <w:rPr>
          <w:rFonts w:ascii="Calibri" w:hAnsi="Calibri"/>
          <w:sz w:val="24"/>
          <w:szCs w:val="24"/>
        </w:rPr>
        <w:tab/>
      </w:r>
      <w:r w:rsidR="007F59A2">
        <w:rPr>
          <w:rFonts w:ascii="Calibri" w:hAnsi="Calibri"/>
          <w:sz w:val="24"/>
          <w:szCs w:val="24"/>
        </w:rPr>
        <w:tab/>
      </w:r>
      <w:proofErr w:type="spellStart"/>
      <w:r w:rsidRPr="0025112E">
        <w:rPr>
          <w:rFonts w:ascii="Calibri" w:hAnsi="Calibri"/>
          <w:sz w:val="24"/>
          <w:szCs w:val="24"/>
        </w:rPr>
        <w:t>Zodwa</w:t>
      </w:r>
      <w:proofErr w:type="spellEnd"/>
      <w:r w:rsidRPr="0025112E">
        <w:rPr>
          <w:rFonts w:ascii="Calibri" w:hAnsi="Calibri"/>
          <w:sz w:val="24"/>
          <w:szCs w:val="24"/>
        </w:rPr>
        <w:t xml:space="preserve"> </w:t>
      </w:r>
    </w:p>
    <w:p w:rsidR="00D91F65" w:rsidRPr="0025112E" w:rsidRDefault="00C50C4E" w:rsidP="00AE7588">
      <w:pPr>
        <w:pStyle w:val="Quote"/>
        <w:rPr>
          <w:rFonts w:ascii="Calibri" w:eastAsia="Times New Roman" w:hAnsi="Calibri" w:cs="Times New Roman"/>
          <w:sz w:val="24"/>
          <w:szCs w:val="24"/>
        </w:rPr>
      </w:pPr>
      <w:r w:rsidRPr="0025112E">
        <w:rPr>
          <w:rFonts w:ascii="Calibri" w:hAnsi="Calibri"/>
          <w:sz w:val="24"/>
          <w:szCs w:val="24"/>
        </w:rPr>
        <w:t>It’s not the schooling; it’s even from back home – how you’re taught how to think – [OK] and how to see things.</w:t>
      </w:r>
      <w:r w:rsidRPr="0025112E">
        <w:rPr>
          <w:rFonts w:ascii="Calibri" w:hAnsi="Calibri"/>
          <w:sz w:val="24"/>
          <w:szCs w:val="24"/>
        </w:rPr>
        <w:tab/>
      </w:r>
      <w:r w:rsidRPr="0025112E">
        <w:rPr>
          <w:rFonts w:ascii="Calibri" w:hAnsi="Calibri"/>
          <w:sz w:val="24"/>
          <w:szCs w:val="24"/>
        </w:rPr>
        <w:tab/>
      </w:r>
      <w:r w:rsidRPr="0025112E">
        <w:rPr>
          <w:rFonts w:ascii="Calibri" w:hAnsi="Calibri"/>
          <w:sz w:val="24"/>
          <w:szCs w:val="24"/>
        </w:rPr>
        <w:tab/>
      </w:r>
      <w:r w:rsidR="007F59A2">
        <w:rPr>
          <w:rFonts w:ascii="Calibri" w:hAnsi="Calibri"/>
          <w:sz w:val="24"/>
          <w:szCs w:val="24"/>
        </w:rPr>
        <w:tab/>
      </w:r>
      <w:r w:rsidR="007F59A2">
        <w:rPr>
          <w:rFonts w:ascii="Calibri" w:hAnsi="Calibri"/>
          <w:sz w:val="24"/>
          <w:szCs w:val="24"/>
        </w:rPr>
        <w:tab/>
      </w:r>
      <w:r w:rsidRPr="0025112E">
        <w:rPr>
          <w:rFonts w:ascii="Calibri" w:hAnsi="Calibri"/>
          <w:sz w:val="24"/>
          <w:szCs w:val="24"/>
        </w:rPr>
        <w:t xml:space="preserve">Susan </w:t>
      </w:r>
    </w:p>
    <w:p w:rsidR="00D91F65" w:rsidRDefault="00C50C4E" w:rsidP="00AE7588">
      <w:pPr>
        <w:pStyle w:val="Body"/>
        <w:spacing w:before="100" w:after="100" w:line="360" w:lineRule="auto"/>
        <w:rPr>
          <w:rFonts w:ascii="Times New Roman" w:eastAsia="Times New Roman" w:hAnsi="Times New Roman" w:cs="Times New Roman"/>
        </w:rPr>
      </w:pPr>
      <w:r>
        <w:rPr>
          <w:rFonts w:ascii="Times New Roman"/>
        </w:rPr>
        <w:t>Lungi</w:t>
      </w:r>
      <w:r w:rsidR="00422E89">
        <w:rPr>
          <w:rFonts w:ascii="Times New Roman"/>
        </w:rPr>
        <w:t>’</w:t>
      </w:r>
      <w:r w:rsidR="00422E89">
        <w:rPr>
          <w:rFonts w:ascii="Times New Roman"/>
        </w:rPr>
        <w:t>s</w:t>
      </w:r>
      <w:r>
        <w:rPr>
          <w:rFonts w:ascii="Times New Roman"/>
        </w:rPr>
        <w:t xml:space="preserve"> </w:t>
      </w:r>
      <w:r w:rsidR="00422E89">
        <w:rPr>
          <w:rFonts w:ascii="Times New Roman"/>
        </w:rPr>
        <w:t xml:space="preserve">experience of a </w:t>
      </w:r>
      <w:r w:rsidR="00BB7E44">
        <w:rPr>
          <w:rFonts w:ascii="Times New Roman"/>
        </w:rPr>
        <w:t>comparatively</w:t>
      </w:r>
      <w:r w:rsidR="00422E89">
        <w:rPr>
          <w:rFonts w:ascii="Times New Roman"/>
        </w:rPr>
        <w:t xml:space="preserve"> resource</w:t>
      </w:r>
      <w:r w:rsidR="00BB7E44">
        <w:rPr>
          <w:rFonts w:ascii="Times New Roman"/>
        </w:rPr>
        <w:t>-rich</w:t>
      </w:r>
      <w:r w:rsidR="00422E89">
        <w:rPr>
          <w:rFonts w:ascii="Times New Roman"/>
        </w:rPr>
        <w:t xml:space="preserve"> school but </w:t>
      </w:r>
      <w:r w:rsidR="00BB7E44">
        <w:rPr>
          <w:rFonts w:ascii="Times New Roman"/>
        </w:rPr>
        <w:t>poor</w:t>
      </w:r>
      <w:r w:rsidR="00422E89">
        <w:rPr>
          <w:rFonts w:ascii="Times New Roman"/>
        </w:rPr>
        <w:t xml:space="preserve"> </w:t>
      </w:r>
      <w:r w:rsidR="00BB7E44">
        <w:rPr>
          <w:rFonts w:ascii="Times New Roman"/>
        </w:rPr>
        <w:t>support at</w:t>
      </w:r>
      <w:r w:rsidR="00422E89">
        <w:rPr>
          <w:rFonts w:ascii="Times New Roman"/>
        </w:rPr>
        <w:t xml:space="preserve"> home </w:t>
      </w:r>
      <w:r>
        <w:rPr>
          <w:rFonts w:ascii="Times New Roman"/>
        </w:rPr>
        <w:t>revealed similar issues.</w:t>
      </w:r>
    </w:p>
    <w:p w:rsidR="00D91F65" w:rsidRPr="0025112E" w:rsidRDefault="00C50C4E" w:rsidP="00AE7588">
      <w:pPr>
        <w:pStyle w:val="Quote"/>
        <w:rPr>
          <w:rFonts w:ascii="Calibri" w:eastAsia="Times New Roman" w:hAnsi="Calibri" w:cs="Times New Roman"/>
          <w:sz w:val="24"/>
          <w:szCs w:val="24"/>
        </w:rPr>
      </w:pPr>
      <w:r w:rsidRPr="0025112E">
        <w:rPr>
          <w:rFonts w:ascii="Calibri" w:hAnsi="Calibri"/>
          <w:sz w:val="24"/>
          <w:szCs w:val="24"/>
        </w:rPr>
        <w:t xml:space="preserve">And in terms of socioeconomic – </w:t>
      </w:r>
      <w:r w:rsidRPr="0025112E">
        <w:rPr>
          <w:rFonts w:ascii="Calibri" w:hAnsi="Calibri"/>
          <w:i/>
          <w:iCs/>
          <w:sz w:val="24"/>
          <w:szCs w:val="24"/>
        </w:rPr>
        <w:t>ja</w:t>
      </w:r>
      <w:r w:rsidRPr="0025112E">
        <w:rPr>
          <w:rFonts w:ascii="Calibri" w:hAnsi="Calibri"/>
          <w:sz w:val="24"/>
          <w:szCs w:val="24"/>
        </w:rPr>
        <w:t>, we were all staying in Durban North, we could all afford the Model C school, we were all dressing the same, but when you go back home, we weren’t living the same lifestyle. It still goes back to that. Even though I could afford that, but my parents still didn’t know anything and couldn’t assist me with anything.</w:t>
      </w:r>
      <w:r w:rsidRPr="0025112E">
        <w:rPr>
          <w:rFonts w:ascii="Calibri" w:hAnsi="Calibri"/>
          <w:sz w:val="24"/>
          <w:szCs w:val="24"/>
        </w:rPr>
        <w:tab/>
      </w:r>
      <w:r w:rsidRPr="0025112E">
        <w:rPr>
          <w:rFonts w:ascii="Calibri" w:hAnsi="Calibri"/>
          <w:sz w:val="24"/>
          <w:szCs w:val="24"/>
        </w:rPr>
        <w:tab/>
      </w:r>
      <w:r w:rsidR="007F59A2">
        <w:rPr>
          <w:rFonts w:ascii="Calibri" w:hAnsi="Calibri"/>
          <w:sz w:val="24"/>
          <w:szCs w:val="24"/>
        </w:rPr>
        <w:tab/>
      </w:r>
      <w:r w:rsidR="007F59A2">
        <w:rPr>
          <w:rFonts w:ascii="Calibri" w:hAnsi="Calibri"/>
          <w:sz w:val="24"/>
          <w:szCs w:val="24"/>
        </w:rPr>
        <w:tab/>
      </w:r>
      <w:r w:rsidRPr="0025112E">
        <w:rPr>
          <w:rFonts w:ascii="Calibri" w:hAnsi="Calibri"/>
          <w:sz w:val="24"/>
          <w:szCs w:val="24"/>
        </w:rPr>
        <w:t xml:space="preserve">Lungi </w:t>
      </w:r>
    </w:p>
    <w:p w:rsidR="00D91F65" w:rsidRDefault="00AD3977" w:rsidP="00AE7588">
      <w:pPr>
        <w:pStyle w:val="Body"/>
        <w:spacing w:before="100" w:after="100" w:line="360" w:lineRule="auto"/>
        <w:rPr>
          <w:rFonts w:ascii="Times New Roman" w:eastAsia="Times New Roman" w:hAnsi="Times New Roman" w:cs="Times New Roman"/>
        </w:rPr>
      </w:pPr>
      <w:r>
        <w:rPr>
          <w:rFonts w:ascii="Times New Roman"/>
        </w:rPr>
        <w:t>‘</w:t>
      </w:r>
      <w:r w:rsidR="00C50C4E">
        <w:rPr>
          <w:rFonts w:ascii="Times New Roman"/>
        </w:rPr>
        <w:t>Race</w:t>
      </w:r>
      <w:r>
        <w:rPr>
          <w:rFonts w:ascii="Times New Roman"/>
        </w:rPr>
        <w:t>’</w:t>
      </w:r>
      <w:r w:rsidR="00C50C4E">
        <w:rPr>
          <w:rFonts w:ascii="Times New Roman"/>
        </w:rPr>
        <w:t xml:space="preserve"> as an influence on these students</w:t>
      </w:r>
      <w:r w:rsidR="00C50C4E">
        <w:rPr>
          <w:rFonts w:hAnsi="Times New Roman"/>
        </w:rPr>
        <w:t>’</w:t>
      </w:r>
      <w:r w:rsidR="00C50C4E">
        <w:rPr>
          <w:rFonts w:hAnsi="Times New Roman"/>
        </w:rPr>
        <w:t xml:space="preserve"> </w:t>
      </w:r>
      <w:r w:rsidR="00C50C4E">
        <w:rPr>
          <w:rFonts w:ascii="Times New Roman"/>
        </w:rPr>
        <w:t>academic achievement has been discussed elsewhere (</w:t>
      </w:r>
      <w:r w:rsidR="00AE0023">
        <w:rPr>
          <w:rFonts w:ascii="Times New Roman"/>
          <w:lang w:val="fr-FR"/>
        </w:rPr>
        <w:t xml:space="preserve">Sommerville </w:t>
      </w:r>
      <w:r w:rsidR="00534666">
        <w:rPr>
          <w:rFonts w:ascii="Times New Roman"/>
        </w:rPr>
        <w:t>20</w:t>
      </w:r>
      <w:r w:rsidR="00AE0023">
        <w:rPr>
          <w:rFonts w:ascii="Times New Roman"/>
        </w:rPr>
        <w:t>13</w:t>
      </w:r>
      <w:r w:rsidR="00C50C4E">
        <w:rPr>
          <w:rFonts w:ascii="Times New Roman"/>
        </w:rPr>
        <w:t>). The racial proportions in the cohort we studied result f</w:t>
      </w:r>
      <w:r w:rsidR="00BB7E44">
        <w:rPr>
          <w:rFonts w:ascii="Times New Roman"/>
        </w:rPr>
        <w:t>rom</w:t>
      </w:r>
      <w:r w:rsidR="00C50C4E">
        <w:rPr>
          <w:rFonts w:ascii="Times New Roman"/>
        </w:rPr>
        <w:t xml:space="preserve"> the medical faculty</w:t>
      </w:r>
      <w:r w:rsidR="00C50C4E">
        <w:rPr>
          <w:rFonts w:hAnsi="Times New Roman"/>
        </w:rPr>
        <w:t>’</w:t>
      </w:r>
      <w:r w:rsidR="00C50C4E">
        <w:rPr>
          <w:rFonts w:ascii="Times New Roman"/>
        </w:rPr>
        <w:t xml:space="preserve">s deliberate selection of students according to a quota </w:t>
      </w:r>
      <w:r w:rsidR="00BB7E44">
        <w:rPr>
          <w:rFonts w:ascii="Times New Roman"/>
        </w:rPr>
        <w:t xml:space="preserve">method </w:t>
      </w:r>
      <w:r w:rsidR="00C50C4E">
        <w:rPr>
          <w:rFonts w:ascii="Times New Roman"/>
        </w:rPr>
        <w:t>o</w:t>
      </w:r>
      <w:r w:rsidR="00BB7E44">
        <w:rPr>
          <w:rFonts w:ascii="Times New Roman"/>
        </w:rPr>
        <w:t>f</w:t>
      </w:r>
      <w:r w:rsidR="00C50C4E">
        <w:rPr>
          <w:rFonts w:ascii="Times New Roman"/>
        </w:rPr>
        <w:t xml:space="preserve"> represent</w:t>
      </w:r>
      <w:r w:rsidR="00BB7E44">
        <w:rPr>
          <w:rFonts w:ascii="Times New Roman"/>
        </w:rPr>
        <w:t>ing</w:t>
      </w:r>
      <w:r w:rsidR="00C50C4E">
        <w:rPr>
          <w:rFonts w:ascii="Times New Roman"/>
        </w:rPr>
        <w:t xml:space="preserve"> </w:t>
      </w:r>
      <w:r w:rsidR="00BB7E44">
        <w:rPr>
          <w:rFonts w:ascii="Times New Roman"/>
        </w:rPr>
        <w:t xml:space="preserve">community </w:t>
      </w:r>
      <w:r w:rsidR="00C50C4E">
        <w:rPr>
          <w:rFonts w:ascii="Times New Roman"/>
        </w:rPr>
        <w:t xml:space="preserve">demographics, rather than </w:t>
      </w:r>
      <w:r w:rsidR="00BB6243">
        <w:rPr>
          <w:rFonts w:ascii="Times New Roman"/>
        </w:rPr>
        <w:t>of rewarding</w:t>
      </w:r>
      <w:r w:rsidR="00C50C4E">
        <w:rPr>
          <w:rFonts w:ascii="Times New Roman"/>
        </w:rPr>
        <w:t xml:space="preserve"> academic performance</w:t>
      </w:r>
      <w:r w:rsidR="00BB6243">
        <w:rPr>
          <w:rFonts w:ascii="Times New Roman"/>
        </w:rPr>
        <w:t xml:space="preserve"> alone</w:t>
      </w:r>
      <w:r w:rsidR="00C50C4E">
        <w:rPr>
          <w:rFonts w:ascii="Times New Roman"/>
        </w:rPr>
        <w:t xml:space="preserve"> (</w:t>
      </w:r>
      <w:r w:rsidR="00AE0023">
        <w:rPr>
          <w:rFonts w:ascii="Times New Roman"/>
        </w:rPr>
        <w:t xml:space="preserve">University of KwaZulu-Natal </w:t>
      </w:r>
      <w:r w:rsidR="00534666">
        <w:rPr>
          <w:rFonts w:ascii="Times New Roman"/>
        </w:rPr>
        <w:t>2</w:t>
      </w:r>
      <w:r w:rsidR="00AE0023">
        <w:rPr>
          <w:rFonts w:ascii="Times New Roman"/>
        </w:rPr>
        <w:t>0</w:t>
      </w:r>
      <w:r w:rsidR="00534666">
        <w:rPr>
          <w:rFonts w:ascii="Times New Roman"/>
        </w:rPr>
        <w:t>1</w:t>
      </w:r>
      <w:r w:rsidR="00AE0023">
        <w:rPr>
          <w:rFonts w:ascii="Times New Roman"/>
        </w:rPr>
        <w:t>2</w:t>
      </w:r>
      <w:r w:rsidR="00C50C4E">
        <w:rPr>
          <w:rFonts w:ascii="Times New Roman"/>
        </w:rPr>
        <w:t xml:space="preserve">). Such a </w:t>
      </w:r>
      <w:r w:rsidR="00BB6243">
        <w:rPr>
          <w:rFonts w:ascii="Times New Roman"/>
        </w:rPr>
        <w:t>method ensures, as a side-effect,</w:t>
      </w:r>
      <w:r w:rsidR="00C50C4E">
        <w:rPr>
          <w:rFonts w:ascii="Times New Roman"/>
        </w:rPr>
        <w:t xml:space="preserve"> that numerically larger </w:t>
      </w:r>
      <w:r w:rsidR="00BB6243">
        <w:rPr>
          <w:rFonts w:ascii="Times New Roman"/>
        </w:rPr>
        <w:t xml:space="preserve">groups </w:t>
      </w:r>
      <w:r w:rsidR="00C50C4E">
        <w:rPr>
          <w:rFonts w:ascii="Times New Roman"/>
        </w:rPr>
        <w:t xml:space="preserve">include a </w:t>
      </w:r>
      <w:r w:rsidR="00BB6243">
        <w:rPr>
          <w:rFonts w:ascii="Times New Roman"/>
        </w:rPr>
        <w:t>broader</w:t>
      </w:r>
      <w:r w:rsidR="00C50C4E">
        <w:rPr>
          <w:rFonts w:ascii="Times New Roman"/>
        </w:rPr>
        <w:t xml:space="preserve"> range of abilities</w:t>
      </w:r>
      <w:r w:rsidR="00BB6243">
        <w:rPr>
          <w:rFonts w:ascii="Times New Roman"/>
        </w:rPr>
        <w:t>, leading in turn to</w:t>
      </w:r>
      <w:r w:rsidR="00C50C4E">
        <w:rPr>
          <w:rFonts w:ascii="Times New Roman"/>
        </w:rPr>
        <w:t xml:space="preserve"> a </w:t>
      </w:r>
      <w:r w:rsidR="00BB6243">
        <w:rPr>
          <w:rFonts w:ascii="Times New Roman"/>
        </w:rPr>
        <w:t>broader</w:t>
      </w:r>
      <w:r w:rsidR="00C50C4E">
        <w:rPr>
          <w:rFonts w:ascii="Times New Roman"/>
        </w:rPr>
        <w:t xml:space="preserve"> range of marks. </w:t>
      </w:r>
      <w:r w:rsidR="00BB6243">
        <w:rPr>
          <w:rFonts w:ascii="Times New Roman"/>
        </w:rPr>
        <w:t xml:space="preserve">We share </w:t>
      </w:r>
      <w:proofErr w:type="spellStart"/>
      <w:r w:rsidR="00C50C4E">
        <w:rPr>
          <w:rFonts w:ascii="Times New Roman"/>
        </w:rPr>
        <w:t>Osane</w:t>
      </w:r>
      <w:r w:rsidR="00BB6243">
        <w:rPr>
          <w:rFonts w:ascii="Times New Roman"/>
        </w:rPr>
        <w:t>’</w:t>
      </w:r>
      <w:r w:rsidR="00BB6243">
        <w:rPr>
          <w:rFonts w:ascii="Times New Roman"/>
        </w:rPr>
        <w:t>s</w:t>
      </w:r>
      <w:proofErr w:type="spellEnd"/>
      <w:r w:rsidR="00C50C4E">
        <w:rPr>
          <w:rFonts w:ascii="Times New Roman"/>
        </w:rPr>
        <w:t xml:space="preserve"> hope that</w:t>
      </w:r>
      <w:r w:rsidR="00BB6243">
        <w:rPr>
          <w:rFonts w:ascii="Times New Roman"/>
        </w:rPr>
        <w:t xml:space="preserve"> with the passage of time will come improved</w:t>
      </w:r>
      <w:r w:rsidR="00C50C4E">
        <w:rPr>
          <w:rFonts w:ascii="Times New Roman"/>
        </w:rPr>
        <w:t xml:space="preserve"> </w:t>
      </w:r>
      <w:proofErr w:type="gramStart"/>
      <w:r w:rsidR="00C50C4E">
        <w:rPr>
          <w:rFonts w:ascii="Times New Roman"/>
        </w:rPr>
        <w:t>schooling  and</w:t>
      </w:r>
      <w:proofErr w:type="gramEnd"/>
      <w:r w:rsidR="00462F6E">
        <w:rPr>
          <w:rFonts w:ascii="Times New Roman"/>
        </w:rPr>
        <w:t xml:space="preserve"> as succeeding generations gain readier access to</w:t>
      </w:r>
      <w:r w:rsidR="00C50C4E">
        <w:rPr>
          <w:rFonts w:ascii="Times New Roman"/>
        </w:rPr>
        <w:t xml:space="preserve"> education, differences between groups will</w:t>
      </w:r>
      <w:r w:rsidR="00462F6E">
        <w:rPr>
          <w:rFonts w:ascii="Times New Roman"/>
        </w:rPr>
        <w:t xml:space="preserve"> be eliminated</w:t>
      </w:r>
      <w:r w:rsidR="00C50C4E">
        <w:rPr>
          <w:rFonts w:ascii="Times New Roman"/>
        </w:rPr>
        <w:t>.</w:t>
      </w:r>
    </w:p>
    <w:p w:rsidR="00D91F65" w:rsidRDefault="00C50C4E" w:rsidP="00AE7588">
      <w:pPr>
        <w:pStyle w:val="Heading3"/>
        <w:spacing w:line="360" w:lineRule="auto"/>
        <w:rPr>
          <w:rFonts w:ascii="Times New Roman" w:eastAsia="Times New Roman" w:hAnsi="Times New Roman" w:cs="Times New Roman"/>
        </w:rPr>
      </w:pPr>
      <w:r>
        <w:rPr>
          <w:rFonts w:ascii="Times New Roman"/>
          <w:lang w:val="en-US"/>
        </w:rPr>
        <w:t>Language</w:t>
      </w:r>
    </w:p>
    <w:p w:rsidR="00D91F65" w:rsidRDefault="00AD3977" w:rsidP="00AE7588">
      <w:pPr>
        <w:pStyle w:val="Body"/>
        <w:spacing w:before="100" w:after="100" w:line="360" w:lineRule="auto"/>
        <w:rPr>
          <w:rFonts w:ascii="Times New Roman" w:eastAsia="Times New Roman" w:hAnsi="Times New Roman" w:cs="Times New Roman"/>
        </w:rPr>
      </w:pPr>
      <w:r>
        <w:rPr>
          <w:rFonts w:ascii="Times New Roman"/>
        </w:rPr>
        <w:t>In</w:t>
      </w:r>
      <w:r w:rsidR="00462F6E">
        <w:rPr>
          <w:rFonts w:ascii="Times New Roman"/>
        </w:rPr>
        <w:t xml:space="preserve"> </w:t>
      </w:r>
      <w:r w:rsidR="00C50C4E">
        <w:rPr>
          <w:rFonts w:ascii="Times New Roman"/>
        </w:rPr>
        <w:t>total</w:t>
      </w:r>
      <w:r>
        <w:rPr>
          <w:rFonts w:ascii="Times New Roman"/>
        </w:rPr>
        <w:t>,</w:t>
      </w:r>
      <w:r w:rsidR="00C50C4E">
        <w:rPr>
          <w:rFonts w:ascii="Times New Roman"/>
        </w:rPr>
        <w:t xml:space="preserve"> 15 languages </w:t>
      </w:r>
      <w:r>
        <w:rPr>
          <w:rFonts w:ascii="Times New Roman"/>
        </w:rPr>
        <w:t>were</w:t>
      </w:r>
      <w:r w:rsidR="00462F6E">
        <w:rPr>
          <w:rFonts w:ascii="Times New Roman"/>
        </w:rPr>
        <w:t xml:space="preserve"> spoken in this cohort</w:t>
      </w:r>
      <w:r w:rsidR="00C50C4E">
        <w:rPr>
          <w:rFonts w:ascii="Times New Roman"/>
        </w:rPr>
        <w:t xml:space="preserve">. English was the first language </w:t>
      </w:r>
      <w:r w:rsidR="00C84122">
        <w:rPr>
          <w:rFonts w:ascii="Times New Roman"/>
        </w:rPr>
        <w:t>of</w:t>
      </w:r>
      <w:r w:rsidR="00C50C4E">
        <w:rPr>
          <w:rFonts w:ascii="Times New Roman"/>
        </w:rPr>
        <w:t xml:space="preserve"> 91</w:t>
      </w:r>
      <w:r w:rsidR="00C84122">
        <w:rPr>
          <w:rFonts w:ascii="Times New Roman"/>
        </w:rPr>
        <w:t xml:space="preserve"> students</w:t>
      </w:r>
      <w:r w:rsidR="00C50C4E">
        <w:rPr>
          <w:rFonts w:ascii="Times New Roman"/>
        </w:rPr>
        <w:t xml:space="preserve">, while </w:t>
      </w:r>
      <w:r w:rsidR="00B40F8C">
        <w:rPr>
          <w:rFonts w:ascii="Times New Roman"/>
        </w:rPr>
        <w:t>isi</w:t>
      </w:r>
      <w:r w:rsidR="00C50C4E">
        <w:rPr>
          <w:rFonts w:ascii="Times New Roman"/>
        </w:rPr>
        <w:t xml:space="preserve">Zulu (65) was the next most prevalent. </w:t>
      </w:r>
      <w:r w:rsidR="00462F6E">
        <w:rPr>
          <w:rFonts w:ascii="Times New Roman"/>
        </w:rPr>
        <w:t>Compar</w:t>
      </w:r>
      <w:r w:rsidR="00C50C4E">
        <w:rPr>
          <w:rFonts w:ascii="Times New Roman"/>
        </w:rPr>
        <w:t>ing all the students</w:t>
      </w:r>
      <w:r w:rsidR="00C50C4E">
        <w:rPr>
          <w:rFonts w:hAnsi="Times New Roman"/>
        </w:rPr>
        <w:t>’</w:t>
      </w:r>
      <w:r w:rsidR="00C50C4E">
        <w:rPr>
          <w:rFonts w:hAnsi="Times New Roman"/>
        </w:rPr>
        <w:t xml:space="preserve"> </w:t>
      </w:r>
      <w:r w:rsidR="00EF6DB8">
        <w:rPr>
          <w:rFonts w:hAnsi="Times New Roman"/>
        </w:rPr>
        <w:t xml:space="preserve">first </w:t>
      </w:r>
      <w:r w:rsidR="00C50C4E">
        <w:rPr>
          <w:rFonts w:ascii="Times New Roman"/>
        </w:rPr>
        <w:t>languages</w:t>
      </w:r>
      <w:r w:rsidR="00EF6DB8">
        <w:rPr>
          <w:rFonts w:ascii="Times New Roman"/>
        </w:rPr>
        <w:t xml:space="preserve"> separately</w:t>
      </w:r>
      <w:r w:rsidR="00462F6E">
        <w:rPr>
          <w:rFonts w:ascii="Times New Roman"/>
        </w:rPr>
        <w:t xml:space="preserve"> showed no obvious pattern</w:t>
      </w:r>
      <w:r w:rsidR="00C50C4E">
        <w:rPr>
          <w:rFonts w:ascii="Times New Roman"/>
        </w:rPr>
        <w:t xml:space="preserve">. </w:t>
      </w:r>
      <w:r w:rsidR="00462F6E">
        <w:rPr>
          <w:rFonts w:ascii="Times New Roman"/>
        </w:rPr>
        <w:t xml:space="preserve">Statistical analysis </w:t>
      </w:r>
      <w:r w:rsidR="00C50C4E">
        <w:rPr>
          <w:rFonts w:ascii="Times New Roman"/>
        </w:rPr>
        <w:t xml:space="preserve">confirmed </w:t>
      </w:r>
      <w:r w:rsidR="00D130BA">
        <w:rPr>
          <w:rFonts w:ascii="Times New Roman"/>
        </w:rPr>
        <w:t xml:space="preserve">this </w:t>
      </w:r>
      <w:r w:rsidR="00C50C4E">
        <w:rPr>
          <w:rFonts w:ascii="Times New Roman"/>
        </w:rPr>
        <w:t>(ANOVA</w:t>
      </w:r>
      <w:r w:rsidR="00C50C4E">
        <w:rPr>
          <w:rFonts w:ascii="Times New Roman"/>
          <w:i/>
          <w:iCs/>
        </w:rPr>
        <w:t xml:space="preserve"> p</w:t>
      </w:r>
      <w:r w:rsidR="00C50C4E">
        <w:rPr>
          <w:rFonts w:ascii="Times New Roman"/>
        </w:rPr>
        <w:t xml:space="preserve"> = 0.145). </w:t>
      </w:r>
      <w:r w:rsidR="00C50C4E">
        <w:rPr>
          <w:rFonts w:ascii="Times New Roman"/>
        </w:rPr>
        <w:lastRenderedPageBreak/>
        <w:t xml:space="preserve">However, </w:t>
      </w:r>
      <w:r w:rsidR="00D130BA">
        <w:rPr>
          <w:rFonts w:ascii="Times New Roman"/>
        </w:rPr>
        <w:t xml:space="preserve">grouping </w:t>
      </w:r>
      <w:r w:rsidR="00C50C4E">
        <w:rPr>
          <w:rFonts w:ascii="Times New Roman"/>
        </w:rPr>
        <w:t xml:space="preserve">the marks </w:t>
      </w:r>
      <w:r w:rsidR="00D130BA">
        <w:rPr>
          <w:rFonts w:ascii="Times New Roman"/>
        </w:rPr>
        <w:t xml:space="preserve">of other first-language speakers and </w:t>
      </w:r>
      <w:r w:rsidR="00C50C4E">
        <w:rPr>
          <w:rFonts w:ascii="Times New Roman"/>
        </w:rPr>
        <w:t>of English</w:t>
      </w:r>
      <w:r w:rsidR="00EF6DB8" w:rsidRPr="00EF6DB8">
        <w:rPr>
          <w:rFonts w:ascii="Times New Roman"/>
        </w:rPr>
        <w:t xml:space="preserve"> </w:t>
      </w:r>
      <w:r w:rsidR="00EF6DB8">
        <w:rPr>
          <w:rFonts w:ascii="Times New Roman"/>
        </w:rPr>
        <w:t xml:space="preserve">first-language </w:t>
      </w:r>
      <w:r w:rsidR="00C50C4E">
        <w:rPr>
          <w:rFonts w:ascii="Times New Roman"/>
        </w:rPr>
        <w:t>speak</w:t>
      </w:r>
      <w:r w:rsidR="00EF6DB8">
        <w:rPr>
          <w:rFonts w:ascii="Times New Roman"/>
        </w:rPr>
        <w:t>ers</w:t>
      </w:r>
      <w:r w:rsidR="00D130BA">
        <w:rPr>
          <w:rFonts w:ascii="Times New Roman"/>
        </w:rPr>
        <w:t>, and comparing the two groups</w:t>
      </w:r>
      <w:r w:rsidR="00C50C4E">
        <w:rPr>
          <w:rFonts w:ascii="Times New Roman"/>
        </w:rPr>
        <w:t xml:space="preserve"> (</w:t>
      </w:r>
      <w:r w:rsidR="00C50C4E">
        <w:rPr>
          <w:rFonts w:ascii="Times New Roman"/>
          <w:b/>
          <w:bCs/>
        </w:rPr>
        <w:t>Figure 2</w:t>
      </w:r>
      <w:r w:rsidR="00C50C4E">
        <w:rPr>
          <w:rFonts w:ascii="Times New Roman"/>
        </w:rPr>
        <w:t>)</w:t>
      </w:r>
      <w:r w:rsidR="00D130BA">
        <w:rPr>
          <w:rFonts w:ascii="Times New Roman"/>
        </w:rPr>
        <w:t>,</w:t>
      </w:r>
      <w:r w:rsidR="00C50C4E">
        <w:rPr>
          <w:rFonts w:ascii="Times New Roman"/>
        </w:rPr>
        <w:t xml:space="preserve"> </w:t>
      </w:r>
      <w:r w:rsidR="00D130BA">
        <w:rPr>
          <w:rFonts w:ascii="Times New Roman"/>
        </w:rPr>
        <w:t>displayed</w:t>
      </w:r>
      <w:r w:rsidR="00C50C4E">
        <w:rPr>
          <w:rFonts w:ascii="Times New Roman"/>
        </w:rPr>
        <w:t xml:space="preserve"> a difference </w:t>
      </w:r>
      <w:r w:rsidR="00D130BA">
        <w:rPr>
          <w:rFonts w:ascii="Times New Roman"/>
        </w:rPr>
        <w:t xml:space="preserve">that was significant </w:t>
      </w:r>
      <w:r w:rsidR="00C50C4E">
        <w:rPr>
          <w:rFonts w:ascii="Times New Roman"/>
        </w:rPr>
        <w:t>(</w:t>
      </w:r>
      <w:r w:rsidR="00C50C4E">
        <w:rPr>
          <w:rFonts w:ascii="Times New Roman"/>
          <w:i/>
          <w:iCs/>
        </w:rPr>
        <w:t>p</w:t>
      </w:r>
      <w:r w:rsidR="00C50C4E">
        <w:rPr>
          <w:rFonts w:ascii="Times New Roman"/>
        </w:rPr>
        <w:t xml:space="preserve"> &lt; 0.001).</w:t>
      </w:r>
    </w:p>
    <w:p w:rsidR="00D91F65" w:rsidRDefault="003E1A83" w:rsidP="00AE7588">
      <w:pPr>
        <w:pStyle w:val="Body"/>
        <w:spacing w:before="100" w:after="100" w:line="360" w:lineRule="auto"/>
        <w:ind w:firstLine="426"/>
        <w:rPr>
          <w:rFonts w:ascii="Times New Roman" w:eastAsia="Times New Roman" w:hAnsi="Times New Roman" w:cs="Times New Roman"/>
        </w:rPr>
      </w:pPr>
      <w:r>
        <w:rPr>
          <w:noProof/>
          <w:lang w:val="en-ZA"/>
        </w:rPr>
        <w:drawing>
          <wp:inline distT="0" distB="0" distL="0" distR="0" wp14:anchorId="591B0D37" wp14:editId="7DD6D0F7">
            <wp:extent cx="5553075" cy="34099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E1A83" w:rsidRDefault="003E1A83" w:rsidP="00AE7588">
      <w:pPr>
        <w:pStyle w:val="Body"/>
        <w:spacing w:before="100" w:after="100" w:line="360" w:lineRule="auto"/>
        <w:ind w:left="720"/>
        <w:rPr>
          <w:rFonts w:ascii="Times New Roman" w:eastAsia="Times New Roman" w:hAnsi="Times New Roman" w:cs="Times New Roman"/>
        </w:rPr>
      </w:pPr>
      <w:r>
        <w:rPr>
          <w:rFonts w:ascii="Times New Roman"/>
          <w:b/>
          <w:bCs/>
        </w:rPr>
        <w:t>Figure 2</w:t>
      </w:r>
      <w:r>
        <w:rPr>
          <w:rFonts w:ascii="Times New Roman"/>
        </w:rPr>
        <w:t xml:space="preserve"> Assessment results over five years according to students</w:t>
      </w:r>
      <w:r>
        <w:rPr>
          <w:rFonts w:hAnsi="Times New Roman"/>
        </w:rPr>
        <w:t>’</w:t>
      </w:r>
      <w:r>
        <w:rPr>
          <w:rFonts w:hAnsi="Times New Roman"/>
        </w:rPr>
        <w:t xml:space="preserve"> </w:t>
      </w:r>
      <w:r>
        <w:rPr>
          <w:rFonts w:ascii="Times New Roman"/>
        </w:rPr>
        <w:t>first language.</w:t>
      </w:r>
      <w:r>
        <w:rPr>
          <w:rFonts w:ascii="Times New Roman"/>
          <w:b/>
          <w:bCs/>
          <w:u w:val="single"/>
        </w:rPr>
        <w:t xml:space="preserve"> </w:t>
      </w:r>
    </w:p>
    <w:p w:rsidR="003E1A83" w:rsidRDefault="003E1A83" w:rsidP="00AE7588">
      <w:pPr>
        <w:pStyle w:val="Body"/>
        <w:spacing w:line="360" w:lineRule="auto"/>
        <w:ind w:left="1440" w:right="737"/>
        <w:rPr>
          <w:rFonts w:ascii="Times New Roman" w:eastAsia="Times New Roman" w:hAnsi="Times New Roman" w:cs="Times New Roman"/>
        </w:rPr>
      </w:pPr>
      <w:r>
        <w:rPr>
          <w:rFonts w:ascii="Times New Roman" w:eastAsia="Times New Roman" w:hAnsi="Times New Roman" w:cs="Times New Roman"/>
        </w:rPr>
        <w:t xml:space="preserve">English = English first-language speakers </w:t>
      </w:r>
    </w:p>
    <w:p w:rsidR="003E1A83" w:rsidRDefault="003E1A83" w:rsidP="00AE7588">
      <w:pPr>
        <w:pStyle w:val="Body"/>
        <w:spacing w:line="360" w:lineRule="auto"/>
        <w:ind w:left="1440" w:right="737"/>
        <w:rPr>
          <w:rFonts w:ascii="Times New Roman" w:eastAsia="Times New Roman" w:hAnsi="Times New Roman" w:cs="Times New Roman"/>
        </w:rPr>
      </w:pPr>
      <w:r>
        <w:rPr>
          <w:rFonts w:ascii="Times New Roman" w:eastAsia="Times New Roman" w:hAnsi="Times New Roman" w:cs="Times New Roman"/>
        </w:rPr>
        <w:t>Other = English second-language speakers</w:t>
      </w:r>
    </w:p>
    <w:p w:rsidR="003E1A83" w:rsidRDefault="003E1A83" w:rsidP="00FC31D4">
      <w:pPr>
        <w:pStyle w:val="Body"/>
        <w:spacing w:line="360" w:lineRule="auto"/>
        <w:ind w:left="720" w:right="737"/>
        <w:rPr>
          <w:rFonts w:ascii="Times New Roman" w:eastAsia="Times New Roman" w:hAnsi="Times New Roman" w:cs="Times New Roman"/>
        </w:rPr>
      </w:pPr>
      <w:r w:rsidRPr="00FC31D4">
        <w:rPr>
          <w:bCs/>
        </w:rPr>
        <w:t>Axes</w:t>
      </w:r>
      <w:r w:rsidR="00D130BA" w:rsidRPr="00FC31D4">
        <w:rPr>
          <w:bCs/>
        </w:rPr>
        <w:t xml:space="preserve"> as in Figure 1</w:t>
      </w:r>
      <w:r>
        <w:rPr>
          <w:rFonts w:ascii="Times New Roman"/>
        </w:rPr>
        <w:t xml:space="preserve"> </w:t>
      </w:r>
    </w:p>
    <w:p w:rsidR="00D91F65" w:rsidRDefault="008704D2" w:rsidP="00AE7588">
      <w:pPr>
        <w:pStyle w:val="Body"/>
        <w:spacing w:before="100" w:after="100" w:line="360" w:lineRule="auto"/>
        <w:rPr>
          <w:rFonts w:ascii="Times New Roman" w:eastAsia="Times New Roman" w:hAnsi="Times New Roman" w:cs="Times New Roman"/>
        </w:rPr>
      </w:pPr>
      <w:r>
        <w:rPr>
          <w:rFonts w:ascii="Times New Roman"/>
        </w:rPr>
        <w:t>If</w:t>
      </w:r>
      <w:r w:rsidR="00C50C4E">
        <w:rPr>
          <w:rFonts w:ascii="Times New Roman"/>
        </w:rPr>
        <w:t xml:space="preserve"> the language of teaching and learning coincides with the </w:t>
      </w:r>
      <w:r>
        <w:rPr>
          <w:rFonts w:ascii="Times New Roman"/>
        </w:rPr>
        <w:t>student</w:t>
      </w:r>
      <w:r>
        <w:rPr>
          <w:rFonts w:ascii="Times New Roman"/>
        </w:rPr>
        <w:t>’</w:t>
      </w:r>
      <w:r>
        <w:rPr>
          <w:rFonts w:ascii="Times New Roman"/>
        </w:rPr>
        <w:t>s home</w:t>
      </w:r>
      <w:r w:rsidR="00C50C4E">
        <w:rPr>
          <w:rFonts w:ascii="Times New Roman"/>
        </w:rPr>
        <w:t xml:space="preserve"> language, </w:t>
      </w:r>
      <w:r>
        <w:rPr>
          <w:rFonts w:ascii="Times New Roman"/>
        </w:rPr>
        <w:t>one might expect this to be an advantage</w:t>
      </w:r>
      <w:r w:rsidR="00C50C4E">
        <w:rPr>
          <w:rFonts w:ascii="Times New Roman"/>
        </w:rPr>
        <w:t xml:space="preserve">. Those who were </w:t>
      </w:r>
      <w:r>
        <w:rPr>
          <w:rFonts w:ascii="Times New Roman"/>
        </w:rPr>
        <w:t>second</w:t>
      </w:r>
      <w:r w:rsidR="00C50C4E">
        <w:rPr>
          <w:rFonts w:ascii="Times New Roman"/>
        </w:rPr>
        <w:t xml:space="preserve">-language English speakers were aware of their </w:t>
      </w:r>
      <w:r>
        <w:rPr>
          <w:rFonts w:ascii="Times New Roman"/>
        </w:rPr>
        <w:t>linguistic disadvantage</w:t>
      </w:r>
      <w:r w:rsidR="00C50C4E">
        <w:rPr>
          <w:rFonts w:ascii="Times New Roman"/>
        </w:rPr>
        <w:t xml:space="preserve"> </w:t>
      </w:r>
      <w:r w:rsidR="00C50C4E">
        <w:rPr>
          <w:rFonts w:hAnsi="Times New Roman"/>
        </w:rPr>
        <w:t>—</w:t>
      </w:r>
      <w:r w:rsidR="00C50C4E">
        <w:rPr>
          <w:rFonts w:ascii="Times New Roman"/>
        </w:rPr>
        <w:t xml:space="preserve"> but </w:t>
      </w:r>
      <w:r>
        <w:rPr>
          <w:rFonts w:ascii="Times New Roman"/>
        </w:rPr>
        <w:t>thought this challenge could be overcome</w:t>
      </w:r>
      <w:r w:rsidR="00C50C4E">
        <w:rPr>
          <w:rFonts w:ascii="Times New Roman"/>
        </w:rPr>
        <w:t>.</w:t>
      </w:r>
    </w:p>
    <w:p w:rsidR="00D91F65" w:rsidRPr="0025112E" w:rsidRDefault="00C50C4E" w:rsidP="00AE7588">
      <w:pPr>
        <w:pStyle w:val="Quote"/>
        <w:rPr>
          <w:rFonts w:ascii="Calibri" w:eastAsia="Times New Roman" w:hAnsi="Calibri" w:cs="Times New Roman"/>
          <w:sz w:val="24"/>
          <w:szCs w:val="24"/>
        </w:rPr>
      </w:pPr>
      <w:r w:rsidRPr="0025112E">
        <w:rPr>
          <w:rFonts w:ascii="Calibri" w:hAnsi="Calibri"/>
          <w:sz w:val="24"/>
          <w:szCs w:val="24"/>
        </w:rPr>
        <w:t>I know with some things, if I’m explaining – if we’re chatting, we get to a point where you have to say it in Zulu because it will make more sense, as opposed to explaining it in English. So I think that is still there. It’s not the major contributing factor but I think that that is definitely still there.</w:t>
      </w:r>
      <w:r w:rsidRPr="0025112E">
        <w:rPr>
          <w:rFonts w:ascii="Calibri" w:hAnsi="Calibri"/>
          <w:sz w:val="24"/>
          <w:szCs w:val="24"/>
        </w:rPr>
        <w:tab/>
        <w:t xml:space="preserve">Lungi </w:t>
      </w:r>
    </w:p>
    <w:p w:rsidR="00D91F65" w:rsidRPr="0025112E" w:rsidRDefault="00C50C4E" w:rsidP="00AE7588">
      <w:pPr>
        <w:pStyle w:val="Quote"/>
        <w:rPr>
          <w:rFonts w:ascii="Calibri" w:eastAsia="Times New Roman" w:hAnsi="Calibri" w:cs="Times New Roman"/>
          <w:sz w:val="24"/>
          <w:szCs w:val="24"/>
        </w:rPr>
      </w:pPr>
      <w:r w:rsidRPr="0025112E">
        <w:rPr>
          <w:rFonts w:ascii="Calibri" w:hAnsi="Calibri"/>
          <w:sz w:val="24"/>
          <w:szCs w:val="24"/>
        </w:rPr>
        <w:t>[W]</w:t>
      </w:r>
      <w:proofErr w:type="spellStart"/>
      <w:r w:rsidRPr="0025112E">
        <w:rPr>
          <w:rFonts w:ascii="Calibri" w:hAnsi="Calibri"/>
          <w:sz w:val="24"/>
          <w:szCs w:val="24"/>
        </w:rPr>
        <w:t>hen</w:t>
      </w:r>
      <w:proofErr w:type="spellEnd"/>
      <w:r w:rsidRPr="0025112E">
        <w:rPr>
          <w:rFonts w:ascii="Calibri" w:hAnsi="Calibri"/>
          <w:sz w:val="24"/>
          <w:szCs w:val="24"/>
        </w:rPr>
        <w:t xml:space="preserve"> they present to me; they’ll throw in a few Zulu words when they’re telling me what case is to be presented, but in the tutorial they remain in one language: in English.</w:t>
      </w:r>
      <w:r w:rsidRPr="0025112E">
        <w:rPr>
          <w:rFonts w:ascii="Calibri" w:eastAsia="Times New Roman" w:hAnsi="Calibri" w:cs="Times New Roman"/>
          <w:sz w:val="24"/>
          <w:szCs w:val="24"/>
        </w:rPr>
        <w:tab/>
        <w:t xml:space="preserve">  </w:t>
      </w:r>
      <w:r w:rsidRPr="0025112E">
        <w:rPr>
          <w:rFonts w:ascii="Calibri" w:eastAsia="Times New Roman" w:hAnsi="Calibri" w:cs="Times New Roman"/>
          <w:sz w:val="24"/>
          <w:szCs w:val="24"/>
        </w:rPr>
        <w:tab/>
      </w:r>
      <w:r w:rsidRPr="0025112E">
        <w:rPr>
          <w:rFonts w:ascii="Calibri" w:eastAsia="Times New Roman" w:hAnsi="Calibri" w:cs="Times New Roman"/>
          <w:sz w:val="24"/>
          <w:szCs w:val="24"/>
        </w:rPr>
        <w:tab/>
      </w:r>
      <w:r w:rsidRPr="0025112E">
        <w:rPr>
          <w:rFonts w:ascii="Calibri" w:eastAsia="Times New Roman" w:hAnsi="Calibri" w:cs="Times New Roman"/>
          <w:sz w:val="24"/>
          <w:szCs w:val="24"/>
        </w:rPr>
        <w:tab/>
      </w:r>
      <w:r w:rsidR="002235EF">
        <w:rPr>
          <w:rFonts w:ascii="Calibri" w:eastAsia="Times New Roman" w:hAnsi="Calibri" w:cs="Times New Roman"/>
          <w:sz w:val="24"/>
          <w:szCs w:val="24"/>
        </w:rPr>
        <w:tab/>
      </w:r>
      <w:r w:rsidR="00C27E16">
        <w:rPr>
          <w:rFonts w:ascii="Calibri" w:eastAsia="Times New Roman" w:hAnsi="Calibri" w:cs="Times New Roman"/>
          <w:sz w:val="24"/>
          <w:szCs w:val="24"/>
        </w:rPr>
        <w:tab/>
      </w:r>
      <w:r w:rsidR="00C27E16">
        <w:rPr>
          <w:rFonts w:ascii="Calibri" w:eastAsia="Times New Roman" w:hAnsi="Calibri" w:cs="Times New Roman"/>
          <w:sz w:val="24"/>
          <w:szCs w:val="24"/>
        </w:rPr>
        <w:tab/>
      </w:r>
      <w:r w:rsidRPr="0025112E">
        <w:rPr>
          <w:rFonts w:ascii="Calibri" w:hAnsi="Calibri"/>
          <w:sz w:val="24"/>
          <w:szCs w:val="24"/>
        </w:rPr>
        <w:t xml:space="preserve">Dr </w:t>
      </w:r>
      <w:proofErr w:type="spellStart"/>
      <w:r w:rsidRPr="0025112E">
        <w:rPr>
          <w:rFonts w:ascii="Calibri" w:hAnsi="Calibri"/>
          <w:sz w:val="24"/>
          <w:szCs w:val="24"/>
        </w:rPr>
        <w:t>Hlubi</w:t>
      </w:r>
      <w:proofErr w:type="spellEnd"/>
      <w:r w:rsidRPr="0025112E">
        <w:rPr>
          <w:rFonts w:ascii="Calibri" w:hAnsi="Calibri"/>
          <w:sz w:val="24"/>
          <w:szCs w:val="24"/>
        </w:rPr>
        <w:t xml:space="preserve"> </w:t>
      </w:r>
    </w:p>
    <w:p w:rsidR="00D91F65" w:rsidRDefault="008704D2" w:rsidP="00AE7588">
      <w:pPr>
        <w:pStyle w:val="Body"/>
        <w:spacing w:before="100" w:after="100" w:line="360" w:lineRule="auto"/>
        <w:rPr>
          <w:rFonts w:ascii="Times New Roman" w:eastAsia="Times New Roman" w:hAnsi="Times New Roman" w:cs="Times New Roman"/>
        </w:rPr>
      </w:pPr>
      <w:proofErr w:type="spellStart"/>
      <w:r>
        <w:rPr>
          <w:rFonts w:ascii="Times New Roman"/>
        </w:rPr>
        <w:lastRenderedPageBreak/>
        <w:t>Recognising</w:t>
      </w:r>
      <w:proofErr w:type="spellEnd"/>
      <w:r>
        <w:rPr>
          <w:rFonts w:ascii="Times New Roman"/>
        </w:rPr>
        <w:t xml:space="preserve"> </w:t>
      </w:r>
      <w:r w:rsidR="00C50C4E">
        <w:rPr>
          <w:rFonts w:ascii="Times New Roman"/>
        </w:rPr>
        <w:t xml:space="preserve">that </w:t>
      </w:r>
      <w:r w:rsidR="00EF6DB8">
        <w:rPr>
          <w:rFonts w:ascii="Times New Roman"/>
        </w:rPr>
        <w:t xml:space="preserve">command </w:t>
      </w:r>
      <w:r w:rsidR="00C50C4E">
        <w:rPr>
          <w:rFonts w:ascii="Times New Roman"/>
        </w:rPr>
        <w:t>of a second language is</w:t>
      </w:r>
      <w:r w:rsidR="00EF6DB8">
        <w:rPr>
          <w:rFonts w:ascii="Times New Roman"/>
        </w:rPr>
        <w:t xml:space="preserve"> </w:t>
      </w:r>
      <w:r>
        <w:rPr>
          <w:rFonts w:ascii="Times New Roman"/>
        </w:rPr>
        <w:t xml:space="preserve">difficult </w:t>
      </w:r>
      <w:r w:rsidR="00EF6DB8">
        <w:rPr>
          <w:rFonts w:ascii="Times New Roman"/>
        </w:rPr>
        <w:t>in</w:t>
      </w:r>
      <w:r w:rsidR="00C50C4E">
        <w:rPr>
          <w:rFonts w:ascii="Times New Roman"/>
        </w:rPr>
        <w:t xml:space="preserve"> itself, and </w:t>
      </w:r>
      <w:r w:rsidR="00CA1D7D">
        <w:rPr>
          <w:rFonts w:ascii="Times New Roman"/>
        </w:rPr>
        <w:t>that</w:t>
      </w:r>
      <w:r w:rsidR="00C50C4E">
        <w:rPr>
          <w:rFonts w:ascii="Times New Roman"/>
        </w:rPr>
        <w:t xml:space="preserve"> </w:t>
      </w:r>
      <w:r w:rsidR="00CA1D7D">
        <w:rPr>
          <w:rFonts w:ascii="Times New Roman"/>
        </w:rPr>
        <w:t xml:space="preserve">expressing </w:t>
      </w:r>
      <w:r w:rsidR="00C50C4E">
        <w:rPr>
          <w:rFonts w:ascii="Times New Roman"/>
        </w:rPr>
        <w:t xml:space="preserve">new concepts in </w:t>
      </w:r>
      <w:r w:rsidR="00CA1D7D">
        <w:rPr>
          <w:rFonts w:ascii="Times New Roman"/>
        </w:rPr>
        <w:t>th</w:t>
      </w:r>
      <w:r w:rsidR="00C50C4E">
        <w:rPr>
          <w:rFonts w:ascii="Times New Roman"/>
        </w:rPr>
        <w:t>a</w:t>
      </w:r>
      <w:r w:rsidR="00CA1D7D">
        <w:rPr>
          <w:rFonts w:ascii="Times New Roman"/>
        </w:rPr>
        <w:t>t</w:t>
      </w:r>
      <w:r w:rsidR="00C50C4E">
        <w:rPr>
          <w:rFonts w:ascii="Times New Roman"/>
        </w:rPr>
        <w:t xml:space="preserve"> second language add</w:t>
      </w:r>
      <w:r w:rsidR="00CA1D7D">
        <w:rPr>
          <w:rFonts w:ascii="Times New Roman"/>
        </w:rPr>
        <w:t>s further</w:t>
      </w:r>
      <w:r w:rsidR="00C50C4E">
        <w:rPr>
          <w:rFonts w:ascii="Times New Roman"/>
        </w:rPr>
        <w:t xml:space="preserve"> complexity, respondents </w:t>
      </w:r>
      <w:r w:rsidR="00CA1D7D">
        <w:rPr>
          <w:rFonts w:ascii="Times New Roman"/>
        </w:rPr>
        <w:t xml:space="preserve">did not </w:t>
      </w:r>
      <w:proofErr w:type="gramStart"/>
      <w:r w:rsidR="002D6D96">
        <w:rPr>
          <w:rFonts w:ascii="Times New Roman"/>
        </w:rPr>
        <w:t xml:space="preserve">accept </w:t>
      </w:r>
      <w:r w:rsidR="00C50C4E">
        <w:rPr>
          <w:rFonts w:ascii="Times New Roman"/>
        </w:rPr>
        <w:t xml:space="preserve"> the</w:t>
      </w:r>
      <w:proofErr w:type="gramEnd"/>
      <w:r w:rsidR="00C50C4E">
        <w:rPr>
          <w:rFonts w:ascii="Times New Roman"/>
        </w:rPr>
        <w:t xml:space="preserve"> suggestion of </w:t>
      </w:r>
      <w:r w:rsidR="00CA1D7D">
        <w:rPr>
          <w:rFonts w:ascii="Times New Roman"/>
        </w:rPr>
        <w:t>rend</w:t>
      </w:r>
      <w:r w:rsidR="00C50C4E">
        <w:rPr>
          <w:rFonts w:ascii="Times New Roman"/>
        </w:rPr>
        <w:t xml:space="preserve">ering the </w:t>
      </w:r>
      <w:proofErr w:type="spellStart"/>
      <w:r w:rsidR="00C50C4E">
        <w:rPr>
          <w:rFonts w:ascii="Times New Roman"/>
        </w:rPr>
        <w:t>programme</w:t>
      </w:r>
      <w:proofErr w:type="spellEnd"/>
      <w:r w:rsidR="00C50C4E">
        <w:rPr>
          <w:rFonts w:ascii="Times New Roman"/>
        </w:rPr>
        <w:t xml:space="preserve"> in</w:t>
      </w:r>
      <w:r w:rsidR="00CA1D7D">
        <w:rPr>
          <w:rFonts w:ascii="Times New Roman"/>
        </w:rPr>
        <w:t xml:space="preserve"> their mother tongues</w:t>
      </w:r>
      <w:r w:rsidR="00C50C4E">
        <w:rPr>
          <w:rFonts w:ascii="Times New Roman"/>
        </w:rPr>
        <w:t>.</w:t>
      </w:r>
    </w:p>
    <w:p w:rsidR="00D91F65" w:rsidRPr="0025112E" w:rsidRDefault="00C50C4E" w:rsidP="00AE7588">
      <w:pPr>
        <w:pStyle w:val="Quote"/>
        <w:rPr>
          <w:rFonts w:ascii="Calibri" w:eastAsia="Times New Roman" w:hAnsi="Calibri" w:cs="Times New Roman"/>
          <w:sz w:val="24"/>
          <w:szCs w:val="24"/>
        </w:rPr>
      </w:pPr>
      <w:r w:rsidRPr="0025112E">
        <w:rPr>
          <w:rFonts w:ascii="Calibri" w:hAnsi="Calibri"/>
          <w:sz w:val="24"/>
          <w:szCs w:val="24"/>
        </w:rPr>
        <w:t>I honestly wouldn’t write a paper in Zulu. Zulu is a very difficult – it’s easy to talk but difficult to write. English is a lot simpler, honestly speaking.</w:t>
      </w:r>
      <w:r w:rsidR="00C27E16">
        <w:rPr>
          <w:rFonts w:ascii="Calibri" w:eastAsia="Times New Roman" w:hAnsi="Calibri" w:cs="Times New Roman"/>
          <w:sz w:val="24"/>
          <w:szCs w:val="24"/>
        </w:rPr>
        <w:t xml:space="preserve">   </w:t>
      </w:r>
      <w:r w:rsidRPr="0025112E">
        <w:rPr>
          <w:rFonts w:ascii="Calibri" w:hAnsi="Calibri"/>
          <w:sz w:val="24"/>
          <w:szCs w:val="24"/>
        </w:rPr>
        <w:t xml:space="preserve">Lungi </w:t>
      </w:r>
    </w:p>
    <w:p w:rsidR="00D91F65" w:rsidRDefault="00C50C4E" w:rsidP="00AE7588">
      <w:pPr>
        <w:pStyle w:val="Body"/>
        <w:spacing w:before="100" w:after="100" w:line="360" w:lineRule="auto"/>
        <w:rPr>
          <w:rFonts w:ascii="Times New Roman" w:eastAsia="Times New Roman" w:hAnsi="Times New Roman" w:cs="Times New Roman"/>
        </w:rPr>
      </w:pPr>
      <w:r w:rsidRPr="00F77A29">
        <w:rPr>
          <w:rFonts w:ascii="Times New Roman"/>
        </w:rPr>
        <w:t>We suggest, following Bernstein (</w:t>
      </w:r>
      <w:r w:rsidR="00AE0023">
        <w:rPr>
          <w:rFonts w:ascii="Times New Roman"/>
        </w:rPr>
        <w:t>1996</w:t>
      </w:r>
      <w:r w:rsidRPr="00F77A29">
        <w:rPr>
          <w:rFonts w:ascii="Times New Roman"/>
        </w:rPr>
        <w:t xml:space="preserve">), that </w:t>
      </w:r>
      <w:r w:rsidR="00CA1D7D">
        <w:rPr>
          <w:rFonts w:ascii="Times New Roman"/>
        </w:rPr>
        <w:t xml:space="preserve">problems with </w:t>
      </w:r>
      <w:r w:rsidRPr="00F77A29">
        <w:rPr>
          <w:rFonts w:ascii="Times New Roman"/>
        </w:rPr>
        <w:t xml:space="preserve">language are different from </w:t>
      </w:r>
      <w:r w:rsidR="00CA1D7D" w:rsidRPr="00F77A29">
        <w:rPr>
          <w:rFonts w:ascii="Times New Roman"/>
        </w:rPr>
        <w:t>problems</w:t>
      </w:r>
      <w:r w:rsidRPr="00F77A29">
        <w:rPr>
          <w:rFonts w:ascii="Times New Roman"/>
        </w:rPr>
        <w:t xml:space="preserve"> with medical terminology</w:t>
      </w:r>
      <w:r w:rsidR="00CA1D7D">
        <w:rPr>
          <w:rFonts w:ascii="Times New Roman"/>
        </w:rPr>
        <w:t>,</w:t>
      </w:r>
      <w:r w:rsidRPr="00F77A29">
        <w:rPr>
          <w:rFonts w:ascii="Times New Roman"/>
        </w:rPr>
        <w:t xml:space="preserve"> in the sense that language </w:t>
      </w:r>
      <w:r w:rsidR="00CA1D7D">
        <w:rPr>
          <w:rFonts w:ascii="Times New Roman"/>
        </w:rPr>
        <w:t>has</w:t>
      </w:r>
      <w:r w:rsidR="00CA1D7D" w:rsidRPr="00F77A29">
        <w:rPr>
          <w:rFonts w:ascii="Times New Roman"/>
        </w:rPr>
        <w:t xml:space="preserve"> </w:t>
      </w:r>
      <w:r w:rsidRPr="00F77A29">
        <w:rPr>
          <w:rFonts w:ascii="Times New Roman"/>
        </w:rPr>
        <w:t>to</w:t>
      </w:r>
      <w:r w:rsidR="00CA1D7D">
        <w:rPr>
          <w:rFonts w:ascii="Times New Roman"/>
        </w:rPr>
        <w:t xml:space="preserve"> do with</w:t>
      </w:r>
      <w:r w:rsidRPr="00F77A29">
        <w:rPr>
          <w:rFonts w:ascii="Times New Roman"/>
        </w:rPr>
        <w:t xml:space="preserve"> different segments of </w:t>
      </w:r>
      <w:r w:rsidR="00CA1D7D">
        <w:rPr>
          <w:rFonts w:ascii="Times New Roman"/>
        </w:rPr>
        <w:t>“</w:t>
      </w:r>
      <w:r w:rsidRPr="00F77A29">
        <w:rPr>
          <w:rFonts w:ascii="Times New Roman"/>
        </w:rPr>
        <w:t>horizontal discourse</w:t>
      </w:r>
      <w:r w:rsidR="00A60613">
        <w:rPr>
          <w:rFonts w:ascii="Times New Roman"/>
        </w:rPr>
        <w:t>”</w:t>
      </w:r>
      <w:r w:rsidRPr="00F77A29">
        <w:rPr>
          <w:rFonts w:ascii="Times New Roman"/>
        </w:rPr>
        <w:t xml:space="preserve"> </w:t>
      </w:r>
      <w:r w:rsidRPr="00F77A29">
        <w:rPr>
          <w:rFonts w:hAnsi="Times New Roman"/>
        </w:rPr>
        <w:t>—</w:t>
      </w:r>
      <w:r w:rsidRPr="00F77A29">
        <w:rPr>
          <w:rFonts w:ascii="Times New Roman"/>
        </w:rPr>
        <w:t xml:space="preserve"> </w:t>
      </w:r>
      <w:r w:rsidR="00CA1D7D">
        <w:rPr>
          <w:rFonts w:ascii="Times New Roman"/>
        </w:rPr>
        <w:t xml:space="preserve">meaning </w:t>
      </w:r>
      <w:r w:rsidRPr="00F77A29">
        <w:rPr>
          <w:rFonts w:ascii="Times New Roman"/>
        </w:rPr>
        <w:t xml:space="preserve">different repertoires of expression </w:t>
      </w:r>
      <w:r w:rsidRPr="00F77A29">
        <w:rPr>
          <w:rFonts w:hAnsi="Times New Roman"/>
        </w:rPr>
        <w:t>—</w:t>
      </w:r>
      <w:r w:rsidRPr="00F77A29">
        <w:rPr>
          <w:rFonts w:ascii="Times New Roman"/>
        </w:rPr>
        <w:t xml:space="preserve"> </w:t>
      </w:r>
      <w:r w:rsidR="00A60613">
        <w:rPr>
          <w:rFonts w:ascii="Times New Roman"/>
        </w:rPr>
        <w:t>whereas</w:t>
      </w:r>
      <w:r w:rsidR="00A60613" w:rsidRPr="00F77A29">
        <w:rPr>
          <w:rFonts w:ascii="Times New Roman"/>
        </w:rPr>
        <w:t xml:space="preserve"> </w:t>
      </w:r>
      <w:r w:rsidR="00EF6DB8">
        <w:rPr>
          <w:rFonts w:ascii="Times New Roman"/>
        </w:rPr>
        <w:t>m</w:t>
      </w:r>
      <w:r w:rsidRPr="00F77A29">
        <w:rPr>
          <w:rFonts w:ascii="Times New Roman"/>
        </w:rPr>
        <w:t xml:space="preserve">edical terminology </w:t>
      </w:r>
      <w:r w:rsidR="00A60613">
        <w:rPr>
          <w:rFonts w:ascii="Times New Roman"/>
        </w:rPr>
        <w:t>represents</w:t>
      </w:r>
      <w:r w:rsidR="00A60613" w:rsidRPr="00F77A29">
        <w:rPr>
          <w:rFonts w:ascii="Times New Roman"/>
        </w:rPr>
        <w:t xml:space="preserve"> </w:t>
      </w:r>
      <w:r w:rsidRPr="00F77A29">
        <w:rPr>
          <w:rFonts w:ascii="Times New Roman"/>
        </w:rPr>
        <w:t xml:space="preserve">a separate </w:t>
      </w:r>
      <w:r w:rsidR="00A60613">
        <w:rPr>
          <w:rFonts w:ascii="Times New Roman"/>
        </w:rPr>
        <w:t>“</w:t>
      </w:r>
      <w:r w:rsidRPr="00F77A29">
        <w:rPr>
          <w:rFonts w:ascii="Times New Roman"/>
        </w:rPr>
        <w:t>vertical discourse</w:t>
      </w:r>
      <w:r w:rsidR="00A60613">
        <w:rPr>
          <w:rFonts w:ascii="Times New Roman"/>
        </w:rPr>
        <w:t>”</w:t>
      </w:r>
      <w:r w:rsidRPr="00F77A29">
        <w:rPr>
          <w:rFonts w:ascii="Times New Roman"/>
        </w:rPr>
        <w:t xml:space="preserve">. </w:t>
      </w:r>
      <w:r w:rsidR="00A60613">
        <w:rPr>
          <w:rFonts w:ascii="Times New Roman"/>
        </w:rPr>
        <w:t>The term</w:t>
      </w:r>
      <w:r w:rsidRPr="00F77A29">
        <w:rPr>
          <w:rFonts w:ascii="Times New Roman"/>
        </w:rPr>
        <w:t xml:space="preserve"> </w:t>
      </w:r>
      <w:r w:rsidR="00A60613">
        <w:rPr>
          <w:rFonts w:ascii="Times New Roman"/>
        </w:rPr>
        <w:t>“</w:t>
      </w:r>
      <w:r w:rsidRPr="00F77A29">
        <w:rPr>
          <w:rFonts w:ascii="Times New Roman"/>
        </w:rPr>
        <w:t>horizontal discourse</w:t>
      </w:r>
      <w:r w:rsidR="00A60613">
        <w:rPr>
          <w:rFonts w:ascii="Times New Roman"/>
        </w:rPr>
        <w:t>”</w:t>
      </w:r>
      <w:r w:rsidR="00A60613">
        <w:rPr>
          <w:rFonts w:ascii="Times New Roman"/>
        </w:rPr>
        <w:t xml:space="preserve"> implies that</w:t>
      </w:r>
      <w:r w:rsidRPr="00F77A29">
        <w:rPr>
          <w:rFonts w:ascii="Times New Roman"/>
        </w:rPr>
        <w:t xml:space="preserve"> everyday idioms f</w:t>
      </w:r>
      <w:r w:rsidR="00A60613">
        <w:rPr>
          <w:rFonts w:ascii="Times New Roman"/>
        </w:rPr>
        <w:t>orm</w:t>
      </w:r>
      <w:r w:rsidRPr="00F77A29">
        <w:rPr>
          <w:rFonts w:ascii="Times New Roman"/>
        </w:rPr>
        <w:t xml:space="preserve"> separate segments</w:t>
      </w:r>
      <w:r w:rsidR="00A60613">
        <w:rPr>
          <w:rFonts w:ascii="Times New Roman"/>
        </w:rPr>
        <w:t>,</w:t>
      </w:r>
      <w:r w:rsidRPr="00F77A29">
        <w:rPr>
          <w:rFonts w:ascii="Times New Roman"/>
        </w:rPr>
        <w:t xml:space="preserve"> meaningless to members of </w:t>
      </w:r>
      <w:r w:rsidR="00A60613" w:rsidRPr="00F77A29">
        <w:rPr>
          <w:rFonts w:ascii="Times New Roman"/>
        </w:rPr>
        <w:t>diverse</w:t>
      </w:r>
      <w:r w:rsidRPr="00F77A29">
        <w:rPr>
          <w:rFonts w:ascii="Times New Roman"/>
        </w:rPr>
        <w:t xml:space="preserve"> communities who do not share the same </w:t>
      </w:r>
      <w:r w:rsidR="00A60613" w:rsidRPr="00F77A29">
        <w:rPr>
          <w:rFonts w:ascii="Times New Roman"/>
        </w:rPr>
        <w:t>communicative</w:t>
      </w:r>
      <w:r w:rsidRPr="00F77A29">
        <w:rPr>
          <w:rFonts w:ascii="Times New Roman"/>
        </w:rPr>
        <w:t xml:space="preserve"> repertoire. Bernstein (</w:t>
      </w:r>
      <w:r w:rsidR="00AE0023">
        <w:rPr>
          <w:rFonts w:ascii="Times New Roman"/>
        </w:rPr>
        <w:t>1999</w:t>
      </w:r>
      <w:r w:rsidRPr="00F77A29">
        <w:rPr>
          <w:rFonts w:ascii="Times New Roman"/>
        </w:rPr>
        <w:t xml:space="preserve">, 160) </w:t>
      </w:r>
      <w:r w:rsidR="00A60613">
        <w:rPr>
          <w:rFonts w:ascii="Times New Roman"/>
        </w:rPr>
        <w:t>could</w:t>
      </w:r>
      <w:r w:rsidR="00A60613" w:rsidRPr="00F77A29">
        <w:rPr>
          <w:rFonts w:ascii="Times New Roman"/>
        </w:rPr>
        <w:t xml:space="preserve"> </w:t>
      </w:r>
      <w:r w:rsidRPr="00F77A29">
        <w:rPr>
          <w:rFonts w:ascii="Times New Roman"/>
        </w:rPr>
        <w:t xml:space="preserve">have been </w:t>
      </w:r>
      <w:r w:rsidR="00A60613">
        <w:rPr>
          <w:rFonts w:ascii="Times New Roman"/>
        </w:rPr>
        <w:t>writing about</w:t>
      </w:r>
      <w:r w:rsidRPr="00F77A29">
        <w:rPr>
          <w:rFonts w:ascii="Times New Roman"/>
        </w:rPr>
        <w:t xml:space="preserve"> </w:t>
      </w:r>
      <w:r w:rsidR="00C77EB1" w:rsidRPr="00F77A29">
        <w:rPr>
          <w:rFonts w:ascii="Times New Roman"/>
        </w:rPr>
        <w:t xml:space="preserve">education </w:t>
      </w:r>
      <w:r w:rsidR="00C77EB1">
        <w:rPr>
          <w:rFonts w:ascii="Times New Roman"/>
        </w:rPr>
        <w:t xml:space="preserve">under </w:t>
      </w:r>
      <w:r w:rsidRPr="00F77A29">
        <w:rPr>
          <w:rFonts w:ascii="Times New Roman"/>
        </w:rPr>
        <w:t>apartheid</w:t>
      </w:r>
      <w:r w:rsidR="00A60613">
        <w:rPr>
          <w:rFonts w:ascii="Times New Roman"/>
        </w:rPr>
        <w:t>:</w:t>
      </w:r>
      <w:r w:rsidRPr="00F77A29">
        <w:rPr>
          <w:rFonts w:ascii="Times New Roman"/>
        </w:rPr>
        <w:t xml:space="preserve"> </w:t>
      </w:r>
      <w:r w:rsidRPr="00F77A29">
        <w:rPr>
          <w:rFonts w:hAnsi="Times New Roman"/>
        </w:rPr>
        <w:t>“</w:t>
      </w:r>
      <w:r w:rsidRPr="00F77A29">
        <w:rPr>
          <w:rFonts w:ascii="Times New Roman"/>
        </w:rPr>
        <w:t>Clearly, the more members are isolated or excluded from each other, the weaker the social base for the development of either repertoire or reservoir.</w:t>
      </w:r>
      <w:r w:rsidRPr="00F77A29">
        <w:rPr>
          <w:rFonts w:hAnsi="Times New Roman"/>
        </w:rPr>
        <w:t>”</w:t>
      </w:r>
      <w:r w:rsidRPr="00F77A29">
        <w:rPr>
          <w:rFonts w:hAnsi="Times New Roman"/>
        </w:rPr>
        <w:t xml:space="preserve"> </w:t>
      </w:r>
      <w:r w:rsidR="00A60613">
        <w:rPr>
          <w:rFonts w:ascii="Times New Roman"/>
        </w:rPr>
        <w:t>Fluency</w:t>
      </w:r>
      <w:r w:rsidR="00A60613" w:rsidRPr="00F77A29">
        <w:rPr>
          <w:rFonts w:ascii="Times New Roman"/>
        </w:rPr>
        <w:t xml:space="preserve"> </w:t>
      </w:r>
      <w:r w:rsidRPr="00F77A29">
        <w:rPr>
          <w:rFonts w:ascii="Times New Roman"/>
        </w:rPr>
        <w:t xml:space="preserve">in basic communication (horizontal discourse) </w:t>
      </w:r>
      <w:r w:rsidR="002D6D96">
        <w:rPr>
          <w:rFonts w:ascii="Times New Roman"/>
        </w:rPr>
        <w:t xml:space="preserve">does </w:t>
      </w:r>
      <w:r w:rsidRPr="00F77A29">
        <w:rPr>
          <w:rFonts w:ascii="Times New Roman"/>
        </w:rPr>
        <w:t xml:space="preserve">not </w:t>
      </w:r>
      <w:r w:rsidR="00CD361F">
        <w:rPr>
          <w:rFonts w:ascii="Times New Roman"/>
        </w:rPr>
        <w:t>ensure</w:t>
      </w:r>
      <w:r w:rsidRPr="00F77A29">
        <w:rPr>
          <w:rFonts w:ascii="Times New Roman"/>
        </w:rPr>
        <w:t xml:space="preserve"> </w:t>
      </w:r>
      <w:r w:rsidR="00CD361F" w:rsidRPr="00F77A29">
        <w:rPr>
          <w:rFonts w:ascii="Times New Roman"/>
        </w:rPr>
        <w:t>expertise</w:t>
      </w:r>
      <w:r w:rsidRPr="00F77A29">
        <w:rPr>
          <w:rFonts w:ascii="Times New Roman"/>
        </w:rPr>
        <w:t xml:space="preserve"> in academic language (vertical discourse), but </w:t>
      </w:r>
      <w:r w:rsidR="00CD361F" w:rsidRPr="00F77A29">
        <w:rPr>
          <w:rFonts w:ascii="Times New Roman"/>
        </w:rPr>
        <w:t>incapacity</w:t>
      </w:r>
      <w:r w:rsidRPr="00F77A29">
        <w:rPr>
          <w:rFonts w:ascii="Times New Roman"/>
        </w:rPr>
        <w:t xml:space="preserve"> in the former may </w:t>
      </w:r>
      <w:r w:rsidR="00CD361F">
        <w:rPr>
          <w:rFonts w:ascii="Times New Roman"/>
        </w:rPr>
        <w:t>likely</w:t>
      </w:r>
      <w:r w:rsidRPr="00F77A29">
        <w:rPr>
          <w:rFonts w:ascii="Times New Roman"/>
        </w:rPr>
        <w:t xml:space="preserve"> impede </w:t>
      </w:r>
      <w:r w:rsidR="00CD361F" w:rsidRPr="00F77A29">
        <w:rPr>
          <w:rFonts w:ascii="Times New Roman"/>
        </w:rPr>
        <w:t>ability</w:t>
      </w:r>
      <w:r w:rsidRPr="00F77A29">
        <w:rPr>
          <w:rFonts w:ascii="Times New Roman"/>
        </w:rPr>
        <w:t xml:space="preserve"> in the latter.</w:t>
      </w:r>
    </w:p>
    <w:p w:rsidR="00D91F65" w:rsidRDefault="00C50C4E" w:rsidP="00AE7588">
      <w:pPr>
        <w:pStyle w:val="Body"/>
        <w:spacing w:before="100" w:after="100" w:line="360" w:lineRule="auto"/>
        <w:ind w:firstLine="426"/>
        <w:rPr>
          <w:rFonts w:ascii="Times New Roman" w:eastAsia="Times New Roman" w:hAnsi="Times New Roman" w:cs="Times New Roman"/>
        </w:rPr>
      </w:pPr>
      <w:r>
        <w:rPr>
          <w:rFonts w:ascii="Times New Roman"/>
        </w:rPr>
        <w:t xml:space="preserve">Despite its potential benefits for themselves and their patients, respondents advanced several </w:t>
      </w:r>
      <w:r w:rsidR="00C77EB1">
        <w:rPr>
          <w:rFonts w:ascii="Times New Roman"/>
        </w:rPr>
        <w:t>motives</w:t>
      </w:r>
      <w:r>
        <w:rPr>
          <w:rFonts w:ascii="Times New Roman"/>
        </w:rPr>
        <w:t xml:space="preserve"> for not </w:t>
      </w:r>
      <w:r w:rsidR="00EF6DB8">
        <w:rPr>
          <w:rFonts w:ascii="Times New Roman"/>
        </w:rPr>
        <w:t>choo</w:t>
      </w:r>
      <w:r>
        <w:rPr>
          <w:rFonts w:ascii="Times New Roman"/>
        </w:rPr>
        <w:t xml:space="preserve">sing </w:t>
      </w:r>
      <w:r w:rsidR="000828DB">
        <w:rPr>
          <w:rFonts w:ascii="Times New Roman"/>
        </w:rPr>
        <w:t>isi</w:t>
      </w:r>
      <w:r>
        <w:rPr>
          <w:rFonts w:ascii="Times New Roman"/>
        </w:rPr>
        <w:t xml:space="preserve">Zulu as </w:t>
      </w:r>
      <w:r w:rsidR="002D6D96">
        <w:rPr>
          <w:rFonts w:ascii="Times New Roman"/>
        </w:rPr>
        <w:t xml:space="preserve">a </w:t>
      </w:r>
      <w:r w:rsidR="000828DB">
        <w:rPr>
          <w:rFonts w:ascii="Times New Roman"/>
        </w:rPr>
        <w:t>language</w:t>
      </w:r>
      <w:r>
        <w:rPr>
          <w:rFonts w:ascii="Times New Roman"/>
        </w:rPr>
        <w:t xml:space="preserve"> of instruction. These included difficulty </w:t>
      </w:r>
      <w:r w:rsidR="000828DB">
        <w:rPr>
          <w:rFonts w:ascii="Times New Roman"/>
        </w:rPr>
        <w:t>in</w:t>
      </w:r>
      <w:r>
        <w:rPr>
          <w:rFonts w:ascii="Times New Roman"/>
        </w:rPr>
        <w:t xml:space="preserve"> translating concepts, </w:t>
      </w:r>
      <w:r w:rsidR="000828DB">
        <w:rPr>
          <w:rFonts w:ascii="Times New Roman"/>
        </w:rPr>
        <w:t>unobtainability</w:t>
      </w:r>
      <w:r>
        <w:rPr>
          <w:rFonts w:ascii="Times New Roman"/>
        </w:rPr>
        <w:t xml:space="preserve"> of textbooks, </w:t>
      </w:r>
      <w:r w:rsidR="000828DB">
        <w:rPr>
          <w:rFonts w:ascii="Times New Roman"/>
        </w:rPr>
        <w:t>plus being</w:t>
      </w:r>
      <w:r>
        <w:rPr>
          <w:rFonts w:ascii="Times New Roman"/>
        </w:rPr>
        <w:t xml:space="preserve"> accustomed to English as </w:t>
      </w:r>
      <w:r w:rsidR="000828DB">
        <w:rPr>
          <w:rFonts w:ascii="Times New Roman"/>
        </w:rPr>
        <w:t>language</w:t>
      </w:r>
      <w:r>
        <w:rPr>
          <w:rFonts w:ascii="Times New Roman"/>
        </w:rPr>
        <w:t xml:space="preserve"> of instruction</w:t>
      </w:r>
      <w:r w:rsidR="000828DB">
        <w:rPr>
          <w:rFonts w:ascii="Times New Roman"/>
        </w:rPr>
        <w:t>,</w:t>
      </w:r>
      <w:r>
        <w:rPr>
          <w:rFonts w:ascii="Times New Roman"/>
        </w:rPr>
        <w:t xml:space="preserve"> aware</w:t>
      </w:r>
      <w:r w:rsidR="000828DB">
        <w:rPr>
          <w:rFonts w:ascii="Times New Roman"/>
        </w:rPr>
        <w:t>ness</w:t>
      </w:r>
      <w:r>
        <w:rPr>
          <w:rFonts w:ascii="Times New Roman"/>
        </w:rPr>
        <w:t xml:space="preserve"> of its </w:t>
      </w:r>
      <w:r w:rsidR="000828DB">
        <w:rPr>
          <w:rFonts w:ascii="Times New Roman"/>
        </w:rPr>
        <w:t>international use in communication</w:t>
      </w:r>
      <w:r>
        <w:rPr>
          <w:rFonts w:ascii="Times New Roman"/>
        </w:rPr>
        <w:t xml:space="preserve">, and the fact that students from other </w:t>
      </w:r>
      <w:r w:rsidR="000828DB">
        <w:rPr>
          <w:rFonts w:ascii="Times New Roman"/>
        </w:rPr>
        <w:t>language backgrounds</w:t>
      </w:r>
      <w:r w:rsidR="00EF0F38">
        <w:rPr>
          <w:rFonts w:ascii="Times New Roman"/>
        </w:rPr>
        <w:t xml:space="preserve"> </w:t>
      </w:r>
      <w:r w:rsidR="000828DB">
        <w:rPr>
          <w:rFonts w:ascii="Times New Roman"/>
        </w:rPr>
        <w:t>may not</w:t>
      </w:r>
      <w:r>
        <w:rPr>
          <w:rFonts w:ascii="Times New Roman"/>
        </w:rPr>
        <w:t xml:space="preserve"> </w:t>
      </w:r>
      <w:r w:rsidR="000828DB">
        <w:rPr>
          <w:rFonts w:ascii="Times New Roman"/>
        </w:rPr>
        <w:t>understand</w:t>
      </w:r>
      <w:r>
        <w:rPr>
          <w:rFonts w:ascii="Times New Roman"/>
        </w:rPr>
        <w:t xml:space="preserve"> </w:t>
      </w:r>
      <w:r w:rsidR="000828DB">
        <w:rPr>
          <w:rFonts w:ascii="Times New Roman"/>
        </w:rPr>
        <w:t>isi</w:t>
      </w:r>
      <w:r>
        <w:rPr>
          <w:rFonts w:ascii="Times New Roman"/>
        </w:rPr>
        <w:t xml:space="preserve">Zulu. </w:t>
      </w:r>
      <w:r w:rsidR="009052E7">
        <w:rPr>
          <w:rFonts w:ascii="Times New Roman"/>
        </w:rPr>
        <w:t>A f</w:t>
      </w:r>
      <w:r>
        <w:rPr>
          <w:rFonts w:ascii="Times New Roman"/>
        </w:rPr>
        <w:t>urther confounder w</w:t>
      </w:r>
      <w:r w:rsidR="009052E7">
        <w:rPr>
          <w:rFonts w:ascii="Times New Roman"/>
        </w:rPr>
        <w:t>as</w:t>
      </w:r>
      <w:r>
        <w:rPr>
          <w:rFonts w:ascii="Times New Roman"/>
        </w:rPr>
        <w:t xml:space="preserve"> the </w:t>
      </w:r>
      <w:r w:rsidR="000828DB">
        <w:rPr>
          <w:rFonts w:ascii="Times New Roman"/>
        </w:rPr>
        <w:t>practical inability of</w:t>
      </w:r>
      <w:r>
        <w:rPr>
          <w:rFonts w:ascii="Times New Roman"/>
        </w:rPr>
        <w:t xml:space="preserve"> many Zulu speakers </w:t>
      </w:r>
      <w:r w:rsidR="00A071A8">
        <w:rPr>
          <w:rFonts w:ascii="Times New Roman"/>
        </w:rPr>
        <w:t>to use</w:t>
      </w:r>
      <w:r>
        <w:rPr>
          <w:rFonts w:ascii="Times New Roman"/>
        </w:rPr>
        <w:t xml:space="preserve"> </w:t>
      </w:r>
      <w:r>
        <w:rPr>
          <w:rFonts w:hAnsi="Times New Roman"/>
        </w:rPr>
        <w:t>‘</w:t>
      </w:r>
      <w:r>
        <w:rPr>
          <w:rFonts w:ascii="Times New Roman"/>
        </w:rPr>
        <w:t>correct</w:t>
      </w:r>
      <w:r>
        <w:rPr>
          <w:rFonts w:hAnsi="Times New Roman"/>
        </w:rPr>
        <w:t>’</w:t>
      </w:r>
      <w:r>
        <w:rPr>
          <w:rFonts w:hAnsi="Times New Roman"/>
        </w:rPr>
        <w:t xml:space="preserve"> </w:t>
      </w:r>
      <w:r w:rsidR="00A071A8">
        <w:rPr>
          <w:rFonts w:hAnsi="Times New Roman"/>
        </w:rPr>
        <w:t>isi</w:t>
      </w:r>
      <w:r>
        <w:rPr>
          <w:rFonts w:ascii="Times New Roman"/>
        </w:rPr>
        <w:t>Zulu. Similar findings in the literature echo these perceptions (</w:t>
      </w:r>
      <w:proofErr w:type="spellStart"/>
      <w:r w:rsidR="00AE0023">
        <w:rPr>
          <w:rFonts w:ascii="Times New Roman"/>
        </w:rPr>
        <w:t>Obanya</w:t>
      </w:r>
      <w:proofErr w:type="spellEnd"/>
      <w:r w:rsidR="00AE0023">
        <w:rPr>
          <w:rFonts w:ascii="Times New Roman"/>
        </w:rPr>
        <w:t xml:space="preserve"> 1995;</w:t>
      </w:r>
      <w:r w:rsidR="00083253">
        <w:rPr>
          <w:rFonts w:ascii="Times New Roman"/>
        </w:rPr>
        <w:t xml:space="preserve"> </w:t>
      </w:r>
      <w:proofErr w:type="spellStart"/>
      <w:r w:rsidR="00AE0023">
        <w:rPr>
          <w:rFonts w:ascii="Times New Roman"/>
        </w:rPr>
        <w:t>Heugh</w:t>
      </w:r>
      <w:proofErr w:type="spellEnd"/>
      <w:r w:rsidR="00AE0023">
        <w:rPr>
          <w:rFonts w:ascii="Times New Roman"/>
        </w:rPr>
        <w:t xml:space="preserve"> </w:t>
      </w:r>
      <w:r w:rsidR="00083253">
        <w:rPr>
          <w:rFonts w:ascii="Times New Roman"/>
        </w:rPr>
        <w:t>2</w:t>
      </w:r>
      <w:r w:rsidR="00AE0023">
        <w:rPr>
          <w:rFonts w:ascii="Times New Roman"/>
        </w:rPr>
        <w:t>009</w:t>
      </w:r>
      <w:r>
        <w:rPr>
          <w:rFonts w:ascii="Times New Roman"/>
        </w:rPr>
        <w:t>).</w:t>
      </w:r>
    </w:p>
    <w:p w:rsidR="00D91F65" w:rsidRDefault="00C50C4E" w:rsidP="00AE7588">
      <w:pPr>
        <w:pStyle w:val="Heading3"/>
        <w:spacing w:line="360" w:lineRule="auto"/>
        <w:rPr>
          <w:rFonts w:ascii="Times New Roman" w:eastAsia="Times New Roman" w:hAnsi="Times New Roman" w:cs="Times New Roman"/>
        </w:rPr>
      </w:pPr>
      <w:r>
        <w:rPr>
          <w:rFonts w:ascii="Times New Roman"/>
        </w:rPr>
        <w:t>Sex</w:t>
      </w:r>
    </w:p>
    <w:p w:rsidR="00D91F65" w:rsidRDefault="00C50C4E" w:rsidP="00AE7588">
      <w:pPr>
        <w:pStyle w:val="Body"/>
        <w:spacing w:before="100" w:after="100" w:line="360" w:lineRule="auto"/>
        <w:rPr>
          <w:rFonts w:ascii="Times New Roman" w:eastAsia="Times New Roman" w:hAnsi="Times New Roman" w:cs="Times New Roman"/>
        </w:rPr>
      </w:pPr>
      <w:r>
        <w:rPr>
          <w:rFonts w:ascii="Times New Roman"/>
        </w:rPr>
        <w:t xml:space="preserve">In the cohort studied, the majority (112) were female students. </w:t>
      </w:r>
      <w:r w:rsidR="00EF6DB8">
        <w:rPr>
          <w:rFonts w:ascii="Times New Roman"/>
        </w:rPr>
        <w:t xml:space="preserve">Across </w:t>
      </w:r>
      <w:r>
        <w:rPr>
          <w:rFonts w:ascii="Times New Roman"/>
        </w:rPr>
        <w:t>the 32 tests, females appeared to dominate academically, except on two occasions (</w:t>
      </w:r>
      <w:r>
        <w:rPr>
          <w:rFonts w:ascii="Times New Roman"/>
          <w:b/>
          <w:bCs/>
        </w:rPr>
        <w:t>Figure 3</w:t>
      </w:r>
      <w:r>
        <w:rPr>
          <w:rFonts w:ascii="Times New Roman"/>
        </w:rPr>
        <w:t>). However, there was no statistical difference (</w:t>
      </w:r>
      <w:r>
        <w:rPr>
          <w:rFonts w:ascii="Times New Roman"/>
          <w:i/>
          <w:iCs/>
        </w:rPr>
        <w:t>p</w:t>
      </w:r>
      <w:r>
        <w:rPr>
          <w:rFonts w:ascii="Times New Roman"/>
        </w:rPr>
        <w:t xml:space="preserve"> = 0.347) between the two sets of results. </w:t>
      </w:r>
    </w:p>
    <w:p w:rsidR="00D91F65" w:rsidRDefault="00197C4E" w:rsidP="00AE7588">
      <w:pPr>
        <w:pStyle w:val="Body"/>
        <w:spacing w:before="100" w:after="100" w:line="360" w:lineRule="auto"/>
        <w:rPr>
          <w:rFonts w:ascii="Times New Roman" w:eastAsia="Times New Roman" w:hAnsi="Times New Roman" w:cs="Times New Roman"/>
        </w:rPr>
      </w:pPr>
      <w:r>
        <w:rPr>
          <w:noProof/>
          <w:lang w:val="en-ZA"/>
        </w:rPr>
        <w:lastRenderedPageBreak/>
        <w:drawing>
          <wp:inline distT="0" distB="0" distL="0" distR="0" wp14:anchorId="351B99B4" wp14:editId="7EE45F89">
            <wp:extent cx="5562600" cy="341947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7C4E" w:rsidRDefault="00197C4E" w:rsidP="00AE7588">
      <w:pPr>
        <w:pStyle w:val="Body"/>
        <w:spacing w:line="360" w:lineRule="auto"/>
        <w:ind w:right="737"/>
        <w:rPr>
          <w:rFonts w:ascii="Times New Roman" w:eastAsia="Times New Roman" w:hAnsi="Times New Roman" w:cs="Times New Roman"/>
        </w:rPr>
      </w:pPr>
      <w:r>
        <w:rPr>
          <w:rFonts w:ascii="Times New Roman"/>
          <w:b/>
          <w:bCs/>
        </w:rPr>
        <w:t xml:space="preserve">Figure 3 </w:t>
      </w:r>
      <w:r>
        <w:rPr>
          <w:rFonts w:ascii="Times New Roman"/>
        </w:rPr>
        <w:t>Assessment results over five years according to students</w:t>
      </w:r>
      <w:r>
        <w:rPr>
          <w:rFonts w:hAnsi="Times New Roman"/>
        </w:rPr>
        <w:t>’</w:t>
      </w:r>
      <w:r>
        <w:rPr>
          <w:rFonts w:hAnsi="Times New Roman"/>
        </w:rPr>
        <w:t xml:space="preserve"> </w:t>
      </w:r>
      <w:r>
        <w:rPr>
          <w:rFonts w:ascii="Times New Roman"/>
        </w:rPr>
        <w:t>sex</w:t>
      </w:r>
    </w:p>
    <w:p w:rsidR="00197C4E" w:rsidRDefault="00197C4E" w:rsidP="00AE7588">
      <w:pPr>
        <w:pStyle w:val="Body"/>
        <w:spacing w:line="360" w:lineRule="auto"/>
        <w:ind w:left="720" w:right="737"/>
        <w:rPr>
          <w:rFonts w:ascii="Times New Roman" w:eastAsia="Times New Roman" w:hAnsi="Times New Roman" w:cs="Times New Roman"/>
        </w:rPr>
      </w:pPr>
      <w:r>
        <w:rPr>
          <w:rFonts w:ascii="Times New Roman" w:eastAsia="Times New Roman" w:hAnsi="Times New Roman" w:cs="Times New Roman"/>
        </w:rPr>
        <w:t>F = Female; M = Male</w:t>
      </w:r>
    </w:p>
    <w:p w:rsidR="00197C4E" w:rsidRDefault="00197C4E" w:rsidP="00A071A8">
      <w:pPr>
        <w:pStyle w:val="Body"/>
        <w:spacing w:line="360" w:lineRule="auto"/>
        <w:ind w:right="737"/>
        <w:rPr>
          <w:rFonts w:ascii="Times New Roman" w:eastAsia="Times New Roman" w:hAnsi="Times New Roman" w:cs="Times New Roman"/>
        </w:rPr>
      </w:pPr>
      <w:r w:rsidRPr="00FC31D4">
        <w:rPr>
          <w:bCs/>
        </w:rPr>
        <w:t>Axes</w:t>
      </w:r>
      <w:r w:rsidR="00A071A8" w:rsidRPr="00FC31D4">
        <w:rPr>
          <w:bCs/>
        </w:rPr>
        <w:t xml:space="preserve"> as in Figure 1</w:t>
      </w:r>
    </w:p>
    <w:p w:rsidR="00D91F65" w:rsidRDefault="00A071A8" w:rsidP="00AE7588">
      <w:pPr>
        <w:pStyle w:val="Body"/>
        <w:spacing w:before="100" w:after="100" w:line="360" w:lineRule="auto"/>
        <w:rPr>
          <w:rFonts w:ascii="Times New Roman" w:eastAsia="Times New Roman" w:hAnsi="Times New Roman" w:cs="Times New Roman"/>
        </w:rPr>
      </w:pPr>
      <w:r>
        <w:rPr>
          <w:rFonts w:ascii="Times New Roman"/>
        </w:rPr>
        <w:t>S</w:t>
      </w:r>
      <w:r w:rsidR="00C50C4E">
        <w:rPr>
          <w:rFonts w:ascii="Times New Roman"/>
        </w:rPr>
        <w:t>taff respondents generally referred to female</w:t>
      </w:r>
      <w:r>
        <w:rPr>
          <w:rFonts w:ascii="Times New Roman"/>
        </w:rPr>
        <w:t xml:space="preserve"> </w:t>
      </w:r>
      <w:r w:rsidR="00C50C4E">
        <w:rPr>
          <w:rFonts w:ascii="Times New Roman"/>
        </w:rPr>
        <w:t>s</w:t>
      </w:r>
      <w:r>
        <w:rPr>
          <w:rFonts w:ascii="Times New Roman"/>
        </w:rPr>
        <w:t>tudents</w:t>
      </w:r>
      <w:r w:rsidR="00C50C4E">
        <w:rPr>
          <w:rFonts w:ascii="Times New Roman"/>
        </w:rPr>
        <w:t xml:space="preserve"> being more diligent</w:t>
      </w:r>
      <w:r>
        <w:rPr>
          <w:rFonts w:ascii="Times New Roman"/>
        </w:rPr>
        <w:t xml:space="preserve"> than males</w:t>
      </w:r>
      <w:r w:rsidR="00C50C4E">
        <w:rPr>
          <w:rFonts w:ascii="Times New Roman"/>
        </w:rPr>
        <w:t>.</w:t>
      </w:r>
    </w:p>
    <w:p w:rsidR="00D91F65" w:rsidRPr="0025112E" w:rsidRDefault="00C50C4E" w:rsidP="00AE7588">
      <w:pPr>
        <w:pStyle w:val="Quote"/>
        <w:rPr>
          <w:rFonts w:ascii="Calibri" w:eastAsia="Times New Roman" w:hAnsi="Calibri" w:cs="Times New Roman"/>
          <w:sz w:val="24"/>
          <w:szCs w:val="24"/>
        </w:rPr>
      </w:pPr>
      <w:r w:rsidRPr="0025112E">
        <w:rPr>
          <w:rFonts w:ascii="Calibri" w:hAnsi="Calibri"/>
          <w:sz w:val="24"/>
          <w:szCs w:val="24"/>
        </w:rPr>
        <w:t xml:space="preserve">I’ve seen in the clinical years that women tend to be a little better at preparing for a tutorial and there seems to be a better </w:t>
      </w:r>
      <w:r w:rsidRPr="0025112E">
        <w:rPr>
          <w:rFonts w:ascii="Calibri" w:hAnsi="Calibri"/>
          <w:sz w:val="24"/>
          <w:szCs w:val="24"/>
          <w:lang w:val="fr-FR"/>
        </w:rPr>
        <w:t>organisation</w:t>
      </w:r>
      <w:r w:rsidRPr="0025112E">
        <w:rPr>
          <w:rFonts w:ascii="Calibri" w:hAnsi="Calibri"/>
          <w:sz w:val="24"/>
          <w:szCs w:val="24"/>
        </w:rPr>
        <w:t>; and also I’ve noticed that more and more female students are group representatives. ... In terms of answering questions – displaying that they have read – females are a little bit better ...</w:t>
      </w:r>
      <w:r w:rsidRPr="0025112E">
        <w:rPr>
          <w:rFonts w:ascii="Calibri" w:hAnsi="Calibri"/>
          <w:sz w:val="24"/>
          <w:szCs w:val="24"/>
        </w:rPr>
        <w:tab/>
      </w:r>
      <w:r w:rsidRPr="0025112E">
        <w:rPr>
          <w:rFonts w:ascii="Calibri" w:hAnsi="Calibri"/>
          <w:sz w:val="24"/>
          <w:szCs w:val="24"/>
        </w:rPr>
        <w:tab/>
      </w:r>
      <w:r w:rsidRPr="0025112E">
        <w:rPr>
          <w:rFonts w:ascii="Calibri" w:hAnsi="Calibri"/>
          <w:sz w:val="24"/>
          <w:szCs w:val="24"/>
        </w:rPr>
        <w:tab/>
      </w:r>
      <w:r w:rsidR="002235EF">
        <w:rPr>
          <w:rFonts w:ascii="Calibri" w:eastAsia="Times New Roman" w:hAnsi="Calibri" w:cs="Times New Roman"/>
          <w:sz w:val="24"/>
          <w:szCs w:val="24"/>
        </w:rPr>
        <w:tab/>
      </w:r>
      <w:r w:rsidR="002235EF">
        <w:rPr>
          <w:rFonts w:ascii="Calibri" w:eastAsia="Times New Roman" w:hAnsi="Calibri" w:cs="Times New Roman"/>
          <w:sz w:val="24"/>
          <w:szCs w:val="24"/>
        </w:rPr>
        <w:tab/>
      </w:r>
      <w:r w:rsidRPr="0025112E">
        <w:rPr>
          <w:rFonts w:ascii="Calibri" w:eastAsia="Times New Roman" w:hAnsi="Calibri" w:cs="Times New Roman"/>
          <w:sz w:val="24"/>
          <w:szCs w:val="24"/>
        </w:rPr>
        <w:tab/>
      </w:r>
      <w:r w:rsidR="007F59A2">
        <w:rPr>
          <w:rFonts w:ascii="Calibri" w:eastAsia="Times New Roman" w:hAnsi="Calibri" w:cs="Times New Roman"/>
          <w:sz w:val="24"/>
          <w:szCs w:val="24"/>
        </w:rPr>
        <w:tab/>
      </w:r>
      <w:r w:rsidR="007F59A2">
        <w:rPr>
          <w:rFonts w:ascii="Calibri" w:eastAsia="Times New Roman" w:hAnsi="Calibri" w:cs="Times New Roman"/>
          <w:sz w:val="24"/>
          <w:szCs w:val="24"/>
        </w:rPr>
        <w:tab/>
      </w:r>
      <w:r w:rsidRPr="0025112E">
        <w:rPr>
          <w:rFonts w:ascii="Calibri" w:hAnsi="Calibri"/>
          <w:sz w:val="24"/>
          <w:szCs w:val="24"/>
        </w:rPr>
        <w:t xml:space="preserve">Dr </w:t>
      </w:r>
      <w:proofErr w:type="spellStart"/>
      <w:r w:rsidRPr="0025112E">
        <w:rPr>
          <w:rFonts w:ascii="Calibri" w:hAnsi="Calibri"/>
          <w:sz w:val="24"/>
          <w:szCs w:val="24"/>
        </w:rPr>
        <w:t>Hlubi</w:t>
      </w:r>
      <w:proofErr w:type="spellEnd"/>
      <w:r w:rsidRPr="0025112E">
        <w:rPr>
          <w:rFonts w:ascii="Calibri" w:hAnsi="Calibri"/>
          <w:sz w:val="24"/>
          <w:szCs w:val="24"/>
        </w:rPr>
        <w:t xml:space="preserve"> </w:t>
      </w:r>
    </w:p>
    <w:p w:rsidR="00D91F65" w:rsidRDefault="00C50C4E" w:rsidP="00AE7588">
      <w:pPr>
        <w:pStyle w:val="Body"/>
        <w:spacing w:before="100" w:after="100" w:line="360" w:lineRule="auto"/>
        <w:rPr>
          <w:rFonts w:ascii="Times New Roman" w:eastAsia="Times New Roman" w:hAnsi="Times New Roman" w:cs="Times New Roman"/>
        </w:rPr>
      </w:pPr>
      <w:r>
        <w:rPr>
          <w:rFonts w:ascii="Times New Roman"/>
        </w:rPr>
        <w:t xml:space="preserve">Student respondents generally tended to confirm the idea that females were more conscientious, and suggested </w:t>
      </w:r>
      <w:r w:rsidR="00A071A8">
        <w:rPr>
          <w:rFonts w:ascii="Times New Roman"/>
        </w:rPr>
        <w:t>several</w:t>
      </w:r>
      <w:r>
        <w:rPr>
          <w:rFonts w:ascii="Times New Roman"/>
        </w:rPr>
        <w:t xml:space="preserve"> reasons for this: greater emotional maturity, </w:t>
      </w:r>
      <w:r w:rsidR="00A071A8">
        <w:rPr>
          <w:rFonts w:ascii="Times New Roman"/>
        </w:rPr>
        <w:t xml:space="preserve">diminished </w:t>
      </w:r>
      <w:r>
        <w:rPr>
          <w:rFonts w:ascii="Times New Roman"/>
        </w:rPr>
        <w:t xml:space="preserve">risk-taking, </w:t>
      </w:r>
      <w:r w:rsidR="00A071A8">
        <w:rPr>
          <w:rFonts w:ascii="Times New Roman"/>
        </w:rPr>
        <w:t>more organized lifestyles</w:t>
      </w:r>
      <w:r>
        <w:rPr>
          <w:rFonts w:ascii="Times New Roman"/>
        </w:rPr>
        <w:t xml:space="preserve">, and </w:t>
      </w:r>
      <w:r w:rsidR="00A071A8">
        <w:rPr>
          <w:rFonts w:ascii="Times New Roman"/>
        </w:rPr>
        <w:t xml:space="preserve">viewpoints </w:t>
      </w:r>
      <w:r w:rsidR="00193D2D">
        <w:rPr>
          <w:rFonts w:ascii="Times New Roman"/>
        </w:rPr>
        <w:t>better</w:t>
      </w:r>
      <w:r w:rsidR="00CA1D0D">
        <w:rPr>
          <w:rFonts w:ascii="Times New Roman"/>
        </w:rPr>
        <w:t xml:space="preserve"> aligned </w:t>
      </w:r>
      <w:r w:rsidR="00193D2D">
        <w:rPr>
          <w:rFonts w:ascii="Times New Roman"/>
        </w:rPr>
        <w:t>wi</w:t>
      </w:r>
      <w:r w:rsidR="00A071A8">
        <w:rPr>
          <w:rFonts w:ascii="Times New Roman"/>
        </w:rPr>
        <w:t>t</w:t>
      </w:r>
      <w:r w:rsidR="00193D2D">
        <w:rPr>
          <w:rFonts w:ascii="Times New Roman"/>
        </w:rPr>
        <w:t>h</w:t>
      </w:r>
      <w:r w:rsidR="00A071A8">
        <w:rPr>
          <w:rFonts w:ascii="Times New Roman"/>
        </w:rPr>
        <w:t xml:space="preserve"> a vocation of caring</w:t>
      </w:r>
      <w:r>
        <w:rPr>
          <w:rFonts w:ascii="Times New Roman"/>
        </w:rPr>
        <w:t>.</w:t>
      </w:r>
    </w:p>
    <w:p w:rsidR="00D91F65" w:rsidRPr="0025112E" w:rsidRDefault="00C50C4E" w:rsidP="00AE7588">
      <w:pPr>
        <w:pStyle w:val="Quote"/>
        <w:rPr>
          <w:rFonts w:ascii="Calibri" w:eastAsia="Times New Roman" w:hAnsi="Calibri" w:cs="Times New Roman"/>
          <w:sz w:val="24"/>
          <w:szCs w:val="24"/>
        </w:rPr>
      </w:pPr>
      <w:r w:rsidRPr="0025112E">
        <w:rPr>
          <w:rFonts w:ascii="Calibri" w:hAnsi="Calibri"/>
          <w:sz w:val="24"/>
          <w:szCs w:val="24"/>
        </w:rPr>
        <w:t>…they are more diligent, that’s true … They’re more mature, isn’t it? But then you’d expect that the mature students should do better, but females are generally three to four years ahead of their male counterparts.</w:t>
      </w:r>
      <w:r w:rsidRPr="0025112E">
        <w:rPr>
          <w:rFonts w:ascii="Calibri" w:hAnsi="Calibri"/>
          <w:sz w:val="24"/>
          <w:szCs w:val="24"/>
        </w:rPr>
        <w:tab/>
        <w:t xml:space="preserve">Kevin </w:t>
      </w:r>
    </w:p>
    <w:p w:rsidR="00D91F65" w:rsidRPr="0025112E" w:rsidRDefault="00C50C4E" w:rsidP="00AE7588">
      <w:pPr>
        <w:pStyle w:val="Quote"/>
        <w:rPr>
          <w:rFonts w:ascii="Calibri" w:eastAsia="Times New Roman" w:hAnsi="Calibri" w:cs="Times New Roman"/>
          <w:sz w:val="24"/>
          <w:szCs w:val="24"/>
        </w:rPr>
      </w:pPr>
      <w:r w:rsidRPr="0025112E">
        <w:rPr>
          <w:rFonts w:ascii="Calibri" w:hAnsi="Calibri"/>
          <w:sz w:val="24"/>
          <w:szCs w:val="24"/>
        </w:rPr>
        <w:t xml:space="preserve">Guys drink more </w:t>
      </w:r>
      <w:r w:rsidR="002235EF">
        <w:rPr>
          <w:rFonts w:ascii="Calibri" w:hAnsi="Calibri"/>
          <w:sz w:val="24"/>
          <w:szCs w:val="24"/>
        </w:rPr>
        <w:t>–</w:t>
      </w:r>
      <w:r w:rsidRPr="0025112E">
        <w:rPr>
          <w:rFonts w:ascii="Calibri" w:hAnsi="Calibri"/>
          <w:sz w:val="24"/>
          <w:szCs w:val="24"/>
        </w:rPr>
        <w:t xml:space="preserve"> </w:t>
      </w:r>
      <w:r w:rsidR="002235EF">
        <w:rPr>
          <w:rFonts w:ascii="Calibri" w:hAnsi="Calibri"/>
          <w:sz w:val="24"/>
          <w:szCs w:val="24"/>
        </w:rPr>
        <w:t>r</w:t>
      </w:r>
      <w:r w:rsidRPr="0025112E">
        <w:rPr>
          <w:rFonts w:ascii="Calibri" w:hAnsi="Calibri"/>
          <w:sz w:val="24"/>
          <w:szCs w:val="24"/>
        </w:rPr>
        <w:t xml:space="preserve">isky </w:t>
      </w:r>
      <w:proofErr w:type="spellStart"/>
      <w:r w:rsidRPr="0025112E">
        <w:rPr>
          <w:rFonts w:ascii="Calibri" w:hAnsi="Calibri"/>
          <w:sz w:val="24"/>
          <w:szCs w:val="24"/>
        </w:rPr>
        <w:t>behaviour</w:t>
      </w:r>
      <w:proofErr w:type="spellEnd"/>
      <w:r w:rsidRPr="0025112E">
        <w:rPr>
          <w:rFonts w:ascii="Calibri" w:hAnsi="Calibri"/>
          <w:sz w:val="24"/>
          <w:szCs w:val="24"/>
        </w:rPr>
        <w:t xml:space="preserve">. </w:t>
      </w:r>
      <w:r w:rsidRPr="0025112E">
        <w:rPr>
          <w:rFonts w:ascii="Calibri" w:hAnsi="Calibri"/>
          <w:sz w:val="24"/>
          <w:szCs w:val="24"/>
        </w:rPr>
        <w:tab/>
      </w:r>
      <w:r w:rsidRPr="0025112E">
        <w:rPr>
          <w:rFonts w:ascii="Calibri" w:hAnsi="Calibri"/>
          <w:sz w:val="24"/>
          <w:szCs w:val="24"/>
        </w:rPr>
        <w:tab/>
      </w:r>
      <w:r w:rsidRPr="0025112E">
        <w:rPr>
          <w:rFonts w:ascii="Calibri" w:hAnsi="Calibri"/>
          <w:sz w:val="24"/>
          <w:szCs w:val="24"/>
        </w:rPr>
        <w:tab/>
      </w:r>
      <w:r w:rsidR="00C27E16">
        <w:rPr>
          <w:rFonts w:ascii="Calibri" w:hAnsi="Calibri"/>
          <w:sz w:val="24"/>
          <w:szCs w:val="24"/>
        </w:rPr>
        <w:tab/>
      </w:r>
      <w:r w:rsidR="00C27E16">
        <w:rPr>
          <w:rFonts w:ascii="Calibri" w:hAnsi="Calibri"/>
          <w:sz w:val="24"/>
          <w:szCs w:val="24"/>
        </w:rPr>
        <w:tab/>
      </w:r>
      <w:proofErr w:type="spellStart"/>
      <w:r w:rsidRPr="0025112E">
        <w:rPr>
          <w:rFonts w:ascii="Calibri" w:hAnsi="Calibri"/>
          <w:sz w:val="24"/>
          <w:szCs w:val="24"/>
        </w:rPr>
        <w:t>Krish</w:t>
      </w:r>
      <w:proofErr w:type="spellEnd"/>
      <w:r w:rsidRPr="0025112E">
        <w:rPr>
          <w:rFonts w:ascii="Calibri" w:hAnsi="Calibri"/>
          <w:sz w:val="24"/>
          <w:szCs w:val="24"/>
        </w:rPr>
        <w:t xml:space="preserve"> </w:t>
      </w:r>
    </w:p>
    <w:p w:rsidR="00D91F65" w:rsidRPr="0025112E" w:rsidRDefault="00C50C4E" w:rsidP="0025112E">
      <w:pPr>
        <w:pStyle w:val="Quote"/>
        <w:rPr>
          <w:rFonts w:ascii="Calibri" w:eastAsia="Times New Roman" w:hAnsi="Calibri" w:cs="Times New Roman"/>
          <w:sz w:val="24"/>
          <w:szCs w:val="24"/>
        </w:rPr>
      </w:pPr>
      <w:r w:rsidRPr="0025112E">
        <w:rPr>
          <w:rFonts w:ascii="Calibri" w:hAnsi="Calibri"/>
          <w:sz w:val="24"/>
          <w:szCs w:val="24"/>
        </w:rPr>
        <w:lastRenderedPageBreak/>
        <w:t>Ah – ladies are very vulnerable and stuff like that, and I think if one relates to the field with passion and the intellect, then you care about the kids and helping people.</w:t>
      </w:r>
      <w:r w:rsidRPr="0025112E">
        <w:rPr>
          <w:rFonts w:ascii="Calibri" w:hAnsi="Calibri"/>
          <w:sz w:val="24"/>
          <w:szCs w:val="24"/>
        </w:rPr>
        <w:tab/>
      </w:r>
      <w:r w:rsidRPr="0025112E">
        <w:rPr>
          <w:rFonts w:ascii="Calibri" w:hAnsi="Calibri"/>
          <w:sz w:val="24"/>
          <w:szCs w:val="24"/>
        </w:rPr>
        <w:tab/>
      </w:r>
      <w:r w:rsidRPr="0025112E">
        <w:rPr>
          <w:rFonts w:ascii="Calibri" w:hAnsi="Calibri"/>
          <w:sz w:val="24"/>
          <w:szCs w:val="24"/>
        </w:rPr>
        <w:tab/>
      </w:r>
      <w:r w:rsidR="002235EF">
        <w:rPr>
          <w:rFonts w:ascii="Calibri" w:hAnsi="Calibri"/>
          <w:sz w:val="24"/>
          <w:szCs w:val="24"/>
        </w:rPr>
        <w:tab/>
      </w:r>
      <w:r w:rsidR="002235EF">
        <w:rPr>
          <w:rFonts w:ascii="Calibri" w:hAnsi="Calibri"/>
          <w:sz w:val="24"/>
          <w:szCs w:val="24"/>
        </w:rPr>
        <w:tab/>
      </w:r>
      <w:r w:rsidR="00C27E16">
        <w:rPr>
          <w:rFonts w:ascii="Calibri" w:hAnsi="Calibri"/>
          <w:sz w:val="24"/>
          <w:szCs w:val="24"/>
        </w:rPr>
        <w:tab/>
      </w:r>
      <w:r w:rsidR="00C27E16">
        <w:rPr>
          <w:rFonts w:ascii="Calibri" w:hAnsi="Calibri"/>
          <w:sz w:val="24"/>
          <w:szCs w:val="24"/>
        </w:rPr>
        <w:tab/>
      </w:r>
      <w:proofErr w:type="spellStart"/>
      <w:r w:rsidRPr="0025112E">
        <w:rPr>
          <w:rFonts w:ascii="Calibri" w:hAnsi="Calibri"/>
          <w:sz w:val="24"/>
          <w:szCs w:val="24"/>
        </w:rPr>
        <w:t>Imbali</w:t>
      </w:r>
      <w:proofErr w:type="spellEnd"/>
      <w:r w:rsidRPr="0025112E">
        <w:rPr>
          <w:rFonts w:ascii="Calibri" w:hAnsi="Calibri"/>
          <w:sz w:val="24"/>
          <w:szCs w:val="24"/>
        </w:rPr>
        <w:t xml:space="preserve"> </w:t>
      </w:r>
    </w:p>
    <w:p w:rsidR="00D91F65" w:rsidRDefault="00525DC4" w:rsidP="00AE7588">
      <w:pPr>
        <w:pStyle w:val="Body"/>
        <w:spacing w:before="100" w:after="100" w:line="360" w:lineRule="auto"/>
        <w:rPr>
          <w:rFonts w:ascii="Times New Roman" w:eastAsia="Times New Roman" w:hAnsi="Times New Roman" w:cs="Times New Roman"/>
        </w:rPr>
      </w:pPr>
      <w:r>
        <w:rPr>
          <w:rFonts w:ascii="Times New Roman"/>
        </w:rPr>
        <w:t>R</w:t>
      </w:r>
      <w:r w:rsidR="00C50C4E">
        <w:rPr>
          <w:rFonts w:ascii="Times New Roman"/>
        </w:rPr>
        <w:t xml:space="preserve">espondent </w:t>
      </w:r>
      <w:r>
        <w:rPr>
          <w:rFonts w:ascii="Times New Roman"/>
        </w:rPr>
        <w:t xml:space="preserve">were not </w:t>
      </w:r>
      <w:r w:rsidR="00C50C4E">
        <w:rPr>
          <w:rFonts w:ascii="Times New Roman"/>
        </w:rPr>
        <w:t>surprised that females</w:t>
      </w:r>
      <w:r w:rsidR="000D2651">
        <w:rPr>
          <w:rFonts w:ascii="Times New Roman"/>
        </w:rPr>
        <w:t>’</w:t>
      </w:r>
      <w:r w:rsidR="000D2651">
        <w:rPr>
          <w:rFonts w:ascii="Times New Roman"/>
        </w:rPr>
        <w:t xml:space="preserve"> </w:t>
      </w:r>
      <w:r w:rsidR="00306B32">
        <w:rPr>
          <w:rFonts w:ascii="Times New Roman"/>
        </w:rPr>
        <w:t xml:space="preserve">test </w:t>
      </w:r>
      <w:r w:rsidR="000D2651">
        <w:rPr>
          <w:rFonts w:ascii="Times New Roman"/>
        </w:rPr>
        <w:t>marks</w:t>
      </w:r>
      <w:r w:rsidR="00C50C4E">
        <w:rPr>
          <w:rFonts w:ascii="Times New Roman"/>
        </w:rPr>
        <w:t xml:space="preserve"> tended to</w:t>
      </w:r>
      <w:r w:rsidR="000D2651">
        <w:rPr>
          <w:rFonts w:ascii="Times New Roman"/>
        </w:rPr>
        <w:t xml:space="preserve"> be</w:t>
      </w:r>
      <w:r w:rsidR="00C50C4E">
        <w:rPr>
          <w:rFonts w:ascii="Times New Roman"/>
        </w:rPr>
        <w:t xml:space="preserve"> higher</w:t>
      </w:r>
      <w:r>
        <w:rPr>
          <w:rFonts w:ascii="Times New Roman"/>
        </w:rPr>
        <w:t xml:space="preserve"> than males</w:t>
      </w:r>
      <w:r w:rsidR="00193D2D">
        <w:rPr>
          <w:rFonts w:ascii="Times New Roman"/>
        </w:rPr>
        <w:t>,</w:t>
      </w:r>
      <w:r>
        <w:rPr>
          <w:rFonts w:ascii="Times New Roman"/>
        </w:rPr>
        <w:t xml:space="preserve"> and suggested various </w:t>
      </w:r>
      <w:r w:rsidR="00193D2D">
        <w:rPr>
          <w:rFonts w:ascii="Times New Roman"/>
        </w:rPr>
        <w:t xml:space="preserve">contributory </w:t>
      </w:r>
      <w:r w:rsidR="00C50C4E">
        <w:rPr>
          <w:rFonts w:ascii="Times New Roman"/>
        </w:rPr>
        <w:t xml:space="preserve">reasons </w:t>
      </w:r>
      <w:r w:rsidR="00193D2D">
        <w:rPr>
          <w:rFonts w:ascii="Times New Roman"/>
        </w:rPr>
        <w:t>f</w:t>
      </w:r>
      <w:r>
        <w:rPr>
          <w:rFonts w:ascii="Times New Roman"/>
        </w:rPr>
        <w:t>o</w:t>
      </w:r>
      <w:r w:rsidR="00193D2D">
        <w:rPr>
          <w:rFonts w:ascii="Times New Roman"/>
        </w:rPr>
        <w:t>r</w:t>
      </w:r>
      <w:r>
        <w:rPr>
          <w:rFonts w:ascii="Times New Roman"/>
        </w:rPr>
        <w:t xml:space="preserve"> this.</w:t>
      </w:r>
      <w:r w:rsidR="00C50C4E">
        <w:rPr>
          <w:rFonts w:ascii="Times New Roman"/>
        </w:rPr>
        <w:t xml:space="preserve"> These reflections are consistent with </w:t>
      </w:r>
      <w:r w:rsidR="002826BC">
        <w:rPr>
          <w:rFonts w:ascii="Times New Roman"/>
        </w:rPr>
        <w:t>those</w:t>
      </w:r>
      <w:r w:rsidR="00C50C4E">
        <w:rPr>
          <w:rFonts w:ascii="Times New Roman"/>
        </w:rPr>
        <w:t xml:space="preserve"> in other studies (</w:t>
      </w:r>
      <w:proofErr w:type="spellStart"/>
      <w:r w:rsidR="00AE0023">
        <w:rPr>
          <w:rFonts w:ascii="Times New Roman"/>
        </w:rPr>
        <w:t>Haist</w:t>
      </w:r>
      <w:proofErr w:type="spellEnd"/>
      <w:r w:rsidR="00AE0023">
        <w:rPr>
          <w:rFonts w:ascii="Times New Roman"/>
        </w:rPr>
        <w:t xml:space="preserve">, Wilson, Elam, Blue &amp; </w:t>
      </w:r>
      <w:proofErr w:type="spellStart"/>
      <w:r w:rsidR="00AE0023">
        <w:rPr>
          <w:rFonts w:ascii="Times New Roman"/>
        </w:rPr>
        <w:t>Fosson</w:t>
      </w:r>
      <w:proofErr w:type="spellEnd"/>
      <w:r w:rsidR="00AE0023">
        <w:rPr>
          <w:rFonts w:ascii="Times New Roman"/>
        </w:rPr>
        <w:t xml:space="preserve"> </w:t>
      </w:r>
      <w:r w:rsidR="00534666">
        <w:rPr>
          <w:rFonts w:ascii="Times New Roman"/>
        </w:rPr>
        <w:t>2</w:t>
      </w:r>
      <w:r w:rsidR="00AE0023">
        <w:rPr>
          <w:rFonts w:ascii="Times New Roman"/>
        </w:rPr>
        <w:t>000;</w:t>
      </w:r>
      <w:r w:rsidR="00534666">
        <w:rPr>
          <w:rFonts w:ascii="Times New Roman"/>
        </w:rPr>
        <w:t xml:space="preserve"> </w:t>
      </w:r>
      <w:r w:rsidR="00AE0023">
        <w:rPr>
          <w:rFonts w:ascii="Times New Roman"/>
        </w:rPr>
        <w:t xml:space="preserve">Ferguson, James &amp; </w:t>
      </w:r>
      <w:proofErr w:type="spellStart"/>
      <w:r w:rsidR="00AE0023">
        <w:rPr>
          <w:rFonts w:ascii="Times New Roman"/>
        </w:rPr>
        <w:t>Madeley</w:t>
      </w:r>
      <w:proofErr w:type="spellEnd"/>
      <w:r w:rsidR="00AE0023">
        <w:rPr>
          <w:rFonts w:ascii="Times New Roman"/>
        </w:rPr>
        <w:t xml:space="preserve"> </w:t>
      </w:r>
      <w:r w:rsidR="00534666">
        <w:rPr>
          <w:rFonts w:ascii="Times New Roman"/>
        </w:rPr>
        <w:t>2</w:t>
      </w:r>
      <w:r w:rsidR="00AE0023">
        <w:rPr>
          <w:rFonts w:ascii="Times New Roman"/>
        </w:rPr>
        <w:t>002</w:t>
      </w:r>
      <w:r w:rsidR="00C50C4E">
        <w:rPr>
          <w:rFonts w:ascii="Times New Roman"/>
        </w:rPr>
        <w:t xml:space="preserve">). </w:t>
      </w:r>
    </w:p>
    <w:p w:rsidR="00083253" w:rsidRDefault="00083253" w:rsidP="00AE7588">
      <w:pPr>
        <w:pStyle w:val="Body"/>
        <w:spacing w:line="360" w:lineRule="auto"/>
        <w:rPr>
          <w:rFonts w:ascii="Times New Roman"/>
          <w:i/>
          <w:iCs/>
        </w:rPr>
      </w:pPr>
    </w:p>
    <w:p w:rsidR="00D91F65" w:rsidRDefault="00C50C4E" w:rsidP="00AE7588">
      <w:pPr>
        <w:pStyle w:val="Body"/>
        <w:spacing w:line="360" w:lineRule="auto"/>
        <w:rPr>
          <w:rFonts w:ascii="Times New Roman" w:eastAsia="Times New Roman" w:hAnsi="Times New Roman" w:cs="Times New Roman"/>
          <w:i/>
          <w:iCs/>
        </w:rPr>
      </w:pPr>
      <w:r>
        <w:rPr>
          <w:rFonts w:ascii="Times New Roman"/>
          <w:i/>
          <w:iCs/>
        </w:rPr>
        <w:t>Age</w:t>
      </w:r>
    </w:p>
    <w:p w:rsidR="00D91F65" w:rsidRDefault="00C50C4E" w:rsidP="00AE7588">
      <w:pPr>
        <w:pStyle w:val="Body"/>
        <w:spacing w:before="100" w:after="100" w:line="360" w:lineRule="auto"/>
        <w:rPr>
          <w:rFonts w:ascii="Times New Roman" w:eastAsia="Times New Roman" w:hAnsi="Times New Roman" w:cs="Times New Roman"/>
        </w:rPr>
      </w:pPr>
      <w:r>
        <w:rPr>
          <w:rFonts w:ascii="Times New Roman"/>
        </w:rPr>
        <w:t xml:space="preserve">The age of the class </w:t>
      </w:r>
      <w:r w:rsidR="00EF6DB8">
        <w:rPr>
          <w:rFonts w:ascii="Times New Roman"/>
        </w:rPr>
        <w:t>at the start of their course</w:t>
      </w:r>
      <w:r>
        <w:rPr>
          <w:rFonts w:ascii="Times New Roman"/>
        </w:rPr>
        <w:t xml:space="preserve"> ranged from 17 to 33</w:t>
      </w:r>
      <w:r w:rsidR="000C4D94">
        <w:rPr>
          <w:rFonts w:ascii="Times New Roman"/>
        </w:rPr>
        <w:t xml:space="preserve"> years</w:t>
      </w:r>
      <w:r>
        <w:rPr>
          <w:rFonts w:ascii="Times New Roman"/>
        </w:rPr>
        <w:t>, the modal value being 18. Dividing the cohort on either side of the median (19.4 years) showed an interesting pattern (</w:t>
      </w:r>
      <w:r>
        <w:rPr>
          <w:rFonts w:ascii="Times New Roman"/>
          <w:b/>
          <w:bCs/>
        </w:rPr>
        <w:t>Figure 4</w:t>
      </w:r>
      <w:r>
        <w:rPr>
          <w:rFonts w:ascii="Times New Roman"/>
        </w:rPr>
        <w:t>), which overall was not statistically significant (</w:t>
      </w:r>
      <w:r>
        <w:rPr>
          <w:rFonts w:ascii="Times New Roman"/>
          <w:i/>
          <w:iCs/>
        </w:rPr>
        <w:t>p</w:t>
      </w:r>
      <w:r>
        <w:rPr>
          <w:rFonts w:ascii="Times New Roman"/>
        </w:rPr>
        <w:t xml:space="preserve"> = 0.947).</w:t>
      </w:r>
    </w:p>
    <w:p w:rsidR="00D91F65" w:rsidRDefault="00197C4E" w:rsidP="00AE7588">
      <w:pPr>
        <w:pStyle w:val="Body"/>
        <w:spacing w:before="100" w:after="100" w:line="360" w:lineRule="auto"/>
        <w:ind w:firstLine="426"/>
        <w:rPr>
          <w:rFonts w:ascii="Times New Roman" w:eastAsia="Times New Roman" w:hAnsi="Times New Roman" w:cs="Times New Roman"/>
          <w:shd w:val="clear" w:color="auto" w:fill="FF00FF"/>
        </w:rPr>
      </w:pPr>
      <w:r>
        <w:rPr>
          <w:noProof/>
          <w:lang w:val="en-ZA"/>
        </w:rPr>
        <w:drawing>
          <wp:inline distT="0" distB="0" distL="0" distR="0" wp14:anchorId="1A32001C" wp14:editId="0B3AF709">
            <wp:extent cx="5553075" cy="34004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97C4E" w:rsidRDefault="00197C4E" w:rsidP="00AE7588">
      <w:pPr>
        <w:pStyle w:val="Body"/>
        <w:spacing w:before="100" w:after="100" w:line="360" w:lineRule="auto"/>
        <w:ind w:left="426"/>
        <w:rPr>
          <w:rFonts w:ascii="Times New Roman" w:eastAsia="Times New Roman" w:hAnsi="Times New Roman" w:cs="Times New Roman"/>
        </w:rPr>
      </w:pPr>
      <w:r>
        <w:rPr>
          <w:rFonts w:ascii="Times New Roman"/>
          <w:b/>
          <w:bCs/>
        </w:rPr>
        <w:t xml:space="preserve">Figure 4 </w:t>
      </w:r>
      <w:r>
        <w:rPr>
          <w:rFonts w:ascii="Times New Roman"/>
        </w:rPr>
        <w:t>Assessment results over five years according to student age in 1</w:t>
      </w:r>
      <w:r>
        <w:rPr>
          <w:rFonts w:ascii="Times New Roman"/>
          <w:vertAlign w:val="superscript"/>
        </w:rPr>
        <w:t>st</w:t>
      </w:r>
      <w:r>
        <w:rPr>
          <w:rFonts w:ascii="Times New Roman"/>
        </w:rPr>
        <w:t xml:space="preserve"> year (2007)</w:t>
      </w:r>
    </w:p>
    <w:p w:rsidR="00197C4E" w:rsidRDefault="00197C4E" w:rsidP="00AE7588">
      <w:pPr>
        <w:pStyle w:val="Body"/>
        <w:spacing w:line="360" w:lineRule="auto"/>
        <w:ind w:left="1440" w:right="737"/>
        <w:rPr>
          <w:rFonts w:ascii="Times New Roman" w:eastAsia="Times New Roman" w:hAnsi="Times New Roman" w:cs="Times New Roman"/>
        </w:rPr>
      </w:pPr>
      <w:r>
        <w:rPr>
          <w:rFonts w:ascii="Times New Roman" w:eastAsia="Times New Roman" w:hAnsi="Times New Roman" w:cs="Times New Roman"/>
        </w:rPr>
        <w:t>Younger = 17</w:t>
      </w:r>
      <w:r w:rsidR="000C4D94">
        <w:rPr>
          <w:rFonts w:hAnsi="Times New Roman"/>
        </w:rPr>
        <w:t>-</w:t>
      </w:r>
      <w:r>
        <w:rPr>
          <w:rFonts w:ascii="Times New Roman"/>
        </w:rPr>
        <w:t>19.4 years</w:t>
      </w:r>
      <w:r w:rsidR="000C4D94">
        <w:rPr>
          <w:rFonts w:ascii="Times New Roman"/>
        </w:rPr>
        <w:t>;</w:t>
      </w:r>
      <w:r>
        <w:rPr>
          <w:rFonts w:ascii="Times New Roman"/>
        </w:rPr>
        <w:t xml:space="preserve"> </w:t>
      </w:r>
      <w:r>
        <w:rPr>
          <w:rFonts w:ascii="Times New Roman" w:eastAsia="Times New Roman" w:hAnsi="Times New Roman" w:cs="Times New Roman"/>
        </w:rPr>
        <w:t>Older = 19.4</w:t>
      </w:r>
      <w:r w:rsidR="000C4D94">
        <w:rPr>
          <w:rFonts w:hAnsi="Times New Roman"/>
        </w:rPr>
        <w:t>-</w:t>
      </w:r>
      <w:r>
        <w:rPr>
          <w:rFonts w:ascii="Times New Roman"/>
        </w:rPr>
        <w:t>33 years</w:t>
      </w:r>
    </w:p>
    <w:p w:rsidR="00197C4E" w:rsidRDefault="00197C4E" w:rsidP="00FC31D4">
      <w:pPr>
        <w:pStyle w:val="Body"/>
        <w:spacing w:line="360" w:lineRule="auto"/>
        <w:ind w:left="426" w:right="737"/>
        <w:rPr>
          <w:rFonts w:ascii="Times New Roman" w:eastAsia="Times New Roman" w:hAnsi="Times New Roman" w:cs="Times New Roman"/>
        </w:rPr>
      </w:pPr>
      <w:r w:rsidRPr="00FC31D4">
        <w:rPr>
          <w:bCs/>
        </w:rPr>
        <w:t>Axes</w:t>
      </w:r>
      <w:r w:rsidR="002826BC" w:rsidRPr="00FC31D4">
        <w:rPr>
          <w:bCs/>
        </w:rPr>
        <w:t xml:space="preserve"> as in Figure 1</w:t>
      </w:r>
    </w:p>
    <w:p w:rsidR="00D91F65" w:rsidRDefault="00C50C4E" w:rsidP="00AE7588">
      <w:pPr>
        <w:pStyle w:val="Body"/>
        <w:spacing w:before="100" w:after="100" w:line="360" w:lineRule="auto"/>
        <w:rPr>
          <w:rFonts w:ascii="Times New Roman" w:eastAsia="Times New Roman" w:hAnsi="Times New Roman" w:cs="Times New Roman"/>
        </w:rPr>
      </w:pPr>
      <w:r>
        <w:rPr>
          <w:rFonts w:ascii="Times New Roman"/>
        </w:rPr>
        <w:t>Age might be expected to be a positive influence; indeed, in the first one-and-a-half years, the older students appeared to perform better, whereas from the middle of the 3</w:t>
      </w:r>
      <w:r>
        <w:rPr>
          <w:rFonts w:ascii="Times New Roman"/>
          <w:vertAlign w:val="superscript"/>
        </w:rPr>
        <w:t>rd</w:t>
      </w:r>
      <w:r>
        <w:rPr>
          <w:rFonts w:ascii="Times New Roman"/>
        </w:rPr>
        <w:t xml:space="preserve"> year that initial advantage disappeared. Some of the older students did feel at an advantage compared to school-leavers.</w:t>
      </w:r>
    </w:p>
    <w:p w:rsidR="00D91F65" w:rsidRPr="0025112E" w:rsidRDefault="00C50C4E" w:rsidP="00AE7588">
      <w:pPr>
        <w:pStyle w:val="Quote"/>
        <w:rPr>
          <w:rFonts w:ascii="Calibri" w:eastAsia="Times New Roman" w:hAnsi="Calibri" w:cs="Times New Roman"/>
          <w:sz w:val="24"/>
          <w:szCs w:val="24"/>
        </w:rPr>
      </w:pPr>
      <w:r w:rsidRPr="0025112E">
        <w:rPr>
          <w:rFonts w:ascii="Calibri" w:hAnsi="Calibri"/>
          <w:sz w:val="24"/>
          <w:szCs w:val="24"/>
        </w:rPr>
        <w:lastRenderedPageBreak/>
        <w:t xml:space="preserve">…kids these days in matric are way too young and they don’t have the necessary background to get them through. I think that’s why most people struggle.    </w:t>
      </w:r>
      <w:r w:rsidRPr="0025112E">
        <w:rPr>
          <w:rFonts w:ascii="Calibri" w:hAnsi="Calibri"/>
          <w:sz w:val="24"/>
          <w:szCs w:val="24"/>
        </w:rPr>
        <w:tab/>
      </w:r>
      <w:r w:rsidRPr="0025112E">
        <w:rPr>
          <w:rFonts w:ascii="Calibri" w:hAnsi="Calibri"/>
          <w:sz w:val="24"/>
          <w:szCs w:val="24"/>
        </w:rPr>
        <w:tab/>
      </w:r>
      <w:r w:rsidRPr="0025112E">
        <w:rPr>
          <w:rFonts w:ascii="Calibri" w:hAnsi="Calibri"/>
          <w:sz w:val="24"/>
          <w:szCs w:val="24"/>
        </w:rPr>
        <w:tab/>
      </w:r>
      <w:r w:rsidRPr="0025112E">
        <w:rPr>
          <w:rFonts w:ascii="Calibri" w:hAnsi="Calibri"/>
          <w:sz w:val="24"/>
          <w:szCs w:val="24"/>
        </w:rPr>
        <w:tab/>
      </w:r>
      <w:r w:rsidRPr="0025112E">
        <w:rPr>
          <w:rFonts w:ascii="Calibri" w:hAnsi="Calibri"/>
          <w:sz w:val="24"/>
          <w:szCs w:val="24"/>
        </w:rPr>
        <w:tab/>
      </w:r>
      <w:r w:rsidRPr="0025112E">
        <w:rPr>
          <w:rFonts w:ascii="Calibri" w:hAnsi="Calibri"/>
          <w:sz w:val="24"/>
          <w:szCs w:val="24"/>
        </w:rPr>
        <w:tab/>
      </w:r>
      <w:r w:rsidR="007F59A2">
        <w:rPr>
          <w:rFonts w:ascii="Calibri" w:hAnsi="Calibri"/>
          <w:sz w:val="24"/>
          <w:szCs w:val="24"/>
        </w:rPr>
        <w:tab/>
      </w:r>
      <w:r w:rsidR="007F59A2">
        <w:rPr>
          <w:rFonts w:ascii="Calibri" w:hAnsi="Calibri"/>
          <w:sz w:val="24"/>
          <w:szCs w:val="24"/>
        </w:rPr>
        <w:tab/>
      </w:r>
      <w:r w:rsidRPr="0025112E">
        <w:rPr>
          <w:rFonts w:ascii="Calibri" w:hAnsi="Calibri"/>
          <w:sz w:val="24"/>
          <w:szCs w:val="24"/>
        </w:rPr>
        <w:t xml:space="preserve">Lungi </w:t>
      </w:r>
    </w:p>
    <w:p w:rsidR="00D91F65" w:rsidRDefault="00C50C4E" w:rsidP="00AE7588">
      <w:pPr>
        <w:pStyle w:val="Body"/>
        <w:spacing w:before="100" w:after="100" w:line="360" w:lineRule="auto"/>
        <w:rPr>
          <w:rFonts w:ascii="Times New Roman" w:eastAsia="Times New Roman" w:hAnsi="Times New Roman" w:cs="Times New Roman"/>
        </w:rPr>
      </w:pPr>
      <w:r>
        <w:rPr>
          <w:rFonts w:ascii="Times New Roman"/>
        </w:rPr>
        <w:t>Age and prior experience in higher education tend to go together, so it is unsurprising that previous studies (</w:t>
      </w:r>
      <w:proofErr w:type="spellStart"/>
      <w:r w:rsidR="006D590F">
        <w:rPr>
          <w:rFonts w:ascii="Times New Roman"/>
        </w:rPr>
        <w:t>Haist</w:t>
      </w:r>
      <w:proofErr w:type="spellEnd"/>
      <w:r w:rsidR="006D590F">
        <w:rPr>
          <w:rFonts w:ascii="Times New Roman"/>
        </w:rPr>
        <w:t xml:space="preserve"> et al 2000; Ferguson et al </w:t>
      </w:r>
      <w:r w:rsidR="00083253">
        <w:rPr>
          <w:rFonts w:ascii="Times New Roman"/>
        </w:rPr>
        <w:t>2</w:t>
      </w:r>
      <w:r w:rsidR="006D590F">
        <w:rPr>
          <w:rFonts w:ascii="Times New Roman"/>
        </w:rPr>
        <w:t xml:space="preserve">002; </w:t>
      </w:r>
      <w:proofErr w:type="spellStart"/>
      <w:r w:rsidR="006D590F">
        <w:rPr>
          <w:rFonts w:ascii="Times New Roman"/>
        </w:rPr>
        <w:t>Trueman</w:t>
      </w:r>
      <w:proofErr w:type="spellEnd"/>
      <w:r w:rsidR="006D590F">
        <w:rPr>
          <w:rFonts w:ascii="Times New Roman"/>
        </w:rPr>
        <w:t xml:space="preserve"> &amp; Hartley 1996</w:t>
      </w:r>
      <w:r>
        <w:rPr>
          <w:rFonts w:ascii="Times New Roman"/>
        </w:rPr>
        <w:t xml:space="preserve">) have found it difficult to distinguish between these factors as influences on academic performance. This raises the question of whether </w:t>
      </w:r>
      <w:r w:rsidR="002826BC">
        <w:rPr>
          <w:rFonts w:ascii="Times New Roman"/>
        </w:rPr>
        <w:t xml:space="preserve">the greater </w:t>
      </w:r>
      <w:r w:rsidR="00193D2D">
        <w:rPr>
          <w:rFonts w:ascii="Times New Roman"/>
        </w:rPr>
        <w:t>academic experience</w:t>
      </w:r>
      <w:r>
        <w:rPr>
          <w:rFonts w:ascii="Times New Roman"/>
        </w:rPr>
        <w:t xml:space="preserve"> or the greater </w:t>
      </w:r>
      <w:r w:rsidR="00193D2D">
        <w:rPr>
          <w:rFonts w:ascii="Times New Roman"/>
        </w:rPr>
        <w:t xml:space="preserve">maturity </w:t>
      </w:r>
      <w:r w:rsidR="00145C22">
        <w:rPr>
          <w:rFonts w:ascii="Times New Roman"/>
        </w:rPr>
        <w:t>of older students</w:t>
      </w:r>
      <w:r w:rsidR="00145C22" w:rsidDel="00193D2D">
        <w:rPr>
          <w:rFonts w:ascii="Times New Roman"/>
        </w:rPr>
        <w:t xml:space="preserve"> </w:t>
      </w:r>
      <w:r w:rsidR="002826BC">
        <w:rPr>
          <w:rFonts w:ascii="Times New Roman"/>
        </w:rPr>
        <w:t>was a</w:t>
      </w:r>
      <w:r w:rsidR="004C6DF6">
        <w:rPr>
          <w:rFonts w:ascii="Times New Roman"/>
        </w:rPr>
        <w:t xml:space="preserve"> </w:t>
      </w:r>
      <w:r w:rsidR="002826BC">
        <w:rPr>
          <w:rFonts w:ascii="Times New Roman"/>
        </w:rPr>
        <w:t>larger contributor to</w:t>
      </w:r>
      <w:r>
        <w:rPr>
          <w:rFonts w:ascii="Times New Roman"/>
        </w:rPr>
        <w:t xml:space="preserve"> academic success. </w:t>
      </w:r>
    </w:p>
    <w:p w:rsidR="00D91F65" w:rsidRDefault="00C50C4E" w:rsidP="00AE7588">
      <w:pPr>
        <w:pStyle w:val="Heading3"/>
        <w:spacing w:line="360" w:lineRule="auto"/>
        <w:rPr>
          <w:rFonts w:ascii="Times New Roman" w:eastAsia="Times New Roman" w:hAnsi="Times New Roman" w:cs="Times New Roman"/>
        </w:rPr>
      </w:pPr>
      <w:r>
        <w:rPr>
          <w:rFonts w:ascii="Times New Roman"/>
          <w:lang w:val="en-US"/>
        </w:rPr>
        <w:t>Financial support</w:t>
      </w:r>
    </w:p>
    <w:p w:rsidR="00D91F65" w:rsidRDefault="006A5C5B" w:rsidP="00AE7588">
      <w:pPr>
        <w:pStyle w:val="Body"/>
        <w:spacing w:before="100" w:after="100" w:line="360" w:lineRule="auto"/>
        <w:rPr>
          <w:rFonts w:ascii="Times New Roman"/>
        </w:rPr>
      </w:pPr>
      <w:r>
        <w:rPr>
          <w:rFonts w:ascii="Times New Roman"/>
        </w:rPr>
        <w:t>S</w:t>
      </w:r>
      <w:r w:rsidR="00C50C4E">
        <w:rPr>
          <w:rFonts w:ascii="Times New Roman"/>
        </w:rPr>
        <w:t>tudents</w:t>
      </w:r>
      <w:r w:rsidR="00C50C4E">
        <w:rPr>
          <w:rFonts w:hAnsi="Times New Roman"/>
        </w:rPr>
        <w:t>’</w:t>
      </w:r>
      <w:r w:rsidR="00C50C4E">
        <w:rPr>
          <w:rFonts w:hAnsi="Times New Roman"/>
        </w:rPr>
        <w:t xml:space="preserve"> </w:t>
      </w:r>
      <w:r>
        <w:rPr>
          <w:rFonts w:ascii="Times New Roman"/>
        </w:rPr>
        <w:t>financial resources</w:t>
      </w:r>
      <w:r w:rsidR="004C6DF6">
        <w:rPr>
          <w:rFonts w:ascii="Times New Roman"/>
        </w:rPr>
        <w:t xml:space="preserve"> and constraints </w:t>
      </w:r>
      <w:r w:rsidR="00EF0F38">
        <w:rPr>
          <w:rFonts w:ascii="Times New Roman"/>
        </w:rPr>
        <w:t>are</w:t>
      </w:r>
      <w:r>
        <w:rPr>
          <w:rFonts w:ascii="Times New Roman"/>
        </w:rPr>
        <w:t xml:space="preserve"> an obvious, and</w:t>
      </w:r>
      <w:r w:rsidR="00EF0F38">
        <w:rPr>
          <w:rFonts w:ascii="Times New Roman"/>
        </w:rPr>
        <w:t xml:space="preserve"> very</w:t>
      </w:r>
      <w:r>
        <w:rPr>
          <w:rFonts w:ascii="Times New Roman"/>
        </w:rPr>
        <w:t xml:space="preserve"> topical, influence on their </w:t>
      </w:r>
      <w:r w:rsidR="00C50C4E">
        <w:rPr>
          <w:rFonts w:ascii="Times New Roman"/>
        </w:rPr>
        <w:t xml:space="preserve">academic performance. </w:t>
      </w:r>
      <w:r w:rsidR="00022D55">
        <w:rPr>
          <w:rFonts w:ascii="Times New Roman"/>
        </w:rPr>
        <w:t>I</w:t>
      </w:r>
      <w:r w:rsidR="00C50C4E">
        <w:rPr>
          <w:rFonts w:ascii="Times New Roman"/>
        </w:rPr>
        <w:t>n their 1</w:t>
      </w:r>
      <w:r w:rsidR="00C50C4E">
        <w:rPr>
          <w:rFonts w:ascii="Times New Roman"/>
          <w:vertAlign w:val="superscript"/>
        </w:rPr>
        <w:t>st</w:t>
      </w:r>
      <w:r w:rsidR="00C50C4E">
        <w:rPr>
          <w:rFonts w:ascii="Times New Roman"/>
        </w:rPr>
        <w:t xml:space="preserve"> year</w:t>
      </w:r>
      <w:r w:rsidR="00022D55">
        <w:rPr>
          <w:rFonts w:ascii="Times New Roman"/>
        </w:rPr>
        <w:t>,</w:t>
      </w:r>
      <w:r w:rsidR="00C50C4E">
        <w:rPr>
          <w:rFonts w:ascii="Times New Roman"/>
        </w:rPr>
        <w:t xml:space="preserve"> 85 students </w:t>
      </w:r>
      <w:r w:rsidR="00022D55">
        <w:rPr>
          <w:rFonts w:ascii="Times New Roman"/>
        </w:rPr>
        <w:t>received merit-based</w:t>
      </w:r>
      <w:r w:rsidR="00C50C4E">
        <w:rPr>
          <w:rFonts w:ascii="Times New Roman"/>
        </w:rPr>
        <w:t xml:space="preserve"> scholarships or bursaries and</w:t>
      </w:r>
      <w:r w:rsidR="00022D55">
        <w:rPr>
          <w:rFonts w:ascii="Times New Roman"/>
        </w:rPr>
        <w:t xml:space="preserve"> another</w:t>
      </w:r>
      <w:r w:rsidR="00C50C4E">
        <w:rPr>
          <w:rFonts w:ascii="Times New Roman"/>
        </w:rPr>
        <w:t xml:space="preserve"> 19 </w:t>
      </w:r>
      <w:r w:rsidR="00022D55">
        <w:rPr>
          <w:rFonts w:ascii="Times New Roman"/>
        </w:rPr>
        <w:t>were funded by</w:t>
      </w:r>
      <w:r w:rsidR="00C50C4E">
        <w:rPr>
          <w:rFonts w:ascii="Times New Roman"/>
        </w:rPr>
        <w:t xml:space="preserve"> NSFAS loans </w:t>
      </w:r>
      <w:r w:rsidR="00022D55">
        <w:rPr>
          <w:rFonts w:ascii="Times New Roman"/>
        </w:rPr>
        <w:t>based on their</w:t>
      </w:r>
      <w:r w:rsidR="00C50C4E">
        <w:rPr>
          <w:rFonts w:ascii="Times New Roman"/>
        </w:rPr>
        <w:t xml:space="preserve"> financial need</w:t>
      </w:r>
      <w:r w:rsidR="00C51430">
        <w:rPr>
          <w:rFonts w:ascii="Times New Roman"/>
        </w:rPr>
        <w:t xml:space="preserve"> (</w:t>
      </w:r>
      <w:r w:rsidR="00C51430">
        <w:rPr>
          <w:rFonts w:ascii="Times New Roman"/>
          <w:b/>
          <w:bCs/>
        </w:rPr>
        <w:t>Figure 5</w:t>
      </w:r>
      <w:r w:rsidR="00C51430">
        <w:rPr>
          <w:rFonts w:ascii="Times New Roman"/>
        </w:rPr>
        <w:t>)</w:t>
      </w:r>
      <w:r w:rsidR="00C50C4E">
        <w:rPr>
          <w:rFonts w:ascii="Times New Roman"/>
        </w:rPr>
        <w:t xml:space="preserve">. </w:t>
      </w:r>
    </w:p>
    <w:p w:rsidR="00D91F65" w:rsidRDefault="00DD5E8F" w:rsidP="00AE7588">
      <w:pPr>
        <w:pStyle w:val="Body"/>
        <w:spacing w:before="100" w:after="100" w:line="360" w:lineRule="auto"/>
        <w:ind w:firstLine="426"/>
        <w:rPr>
          <w:rFonts w:ascii="Times New Roman" w:eastAsia="Times New Roman" w:hAnsi="Times New Roman" w:cs="Times New Roman"/>
        </w:rPr>
      </w:pPr>
      <w:r>
        <w:rPr>
          <w:noProof/>
          <w:lang w:val="en-ZA"/>
        </w:rPr>
        <w:drawing>
          <wp:inline distT="0" distB="0" distL="0" distR="0" wp14:anchorId="7023C4F8" wp14:editId="274860D8">
            <wp:extent cx="5547360" cy="3373120"/>
            <wp:effectExtent l="0" t="0" r="15240"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C50C4E">
        <w:rPr>
          <w:rFonts w:ascii="Times New Roman"/>
        </w:rPr>
        <w:t xml:space="preserve">  </w:t>
      </w:r>
    </w:p>
    <w:p w:rsidR="00DD5E8F" w:rsidRDefault="00DD5E8F" w:rsidP="00AE7588">
      <w:pPr>
        <w:pStyle w:val="Body"/>
        <w:spacing w:line="360" w:lineRule="auto"/>
        <w:ind w:left="426" w:right="737"/>
        <w:rPr>
          <w:rFonts w:ascii="Times New Roman" w:eastAsia="Times New Roman" w:hAnsi="Times New Roman" w:cs="Times New Roman"/>
        </w:rPr>
      </w:pPr>
      <w:r>
        <w:rPr>
          <w:rFonts w:ascii="Times New Roman"/>
          <w:b/>
          <w:bCs/>
        </w:rPr>
        <w:t xml:space="preserve">Figure 5 </w:t>
      </w:r>
      <w:r>
        <w:rPr>
          <w:rFonts w:ascii="Times New Roman"/>
        </w:rPr>
        <w:t>Assessment marks over five years according to level of financial support</w:t>
      </w:r>
    </w:p>
    <w:p w:rsidR="00DD5E8F" w:rsidRDefault="00DD5E8F" w:rsidP="00AE7588">
      <w:pPr>
        <w:pStyle w:val="Body"/>
        <w:spacing w:line="360" w:lineRule="auto"/>
        <w:ind w:left="1440" w:right="737"/>
        <w:rPr>
          <w:rFonts w:ascii="Times New Roman" w:eastAsia="Times New Roman" w:hAnsi="Times New Roman" w:cs="Times New Roman"/>
        </w:rPr>
      </w:pPr>
      <w:r>
        <w:rPr>
          <w:rFonts w:ascii="Times New Roman" w:eastAsia="Times New Roman" w:hAnsi="Times New Roman" w:cs="Times New Roman"/>
        </w:rPr>
        <w:t>Nil = No financial support</w:t>
      </w:r>
    </w:p>
    <w:p w:rsidR="00DD5E8F" w:rsidRDefault="00DD5E8F" w:rsidP="00AE7588">
      <w:pPr>
        <w:pStyle w:val="Body"/>
        <w:spacing w:line="360" w:lineRule="auto"/>
        <w:ind w:left="1440" w:right="737"/>
        <w:rPr>
          <w:rFonts w:ascii="Times New Roman" w:eastAsia="Times New Roman" w:hAnsi="Times New Roman" w:cs="Times New Roman"/>
        </w:rPr>
      </w:pPr>
      <w:r>
        <w:rPr>
          <w:rFonts w:ascii="Times New Roman" w:eastAsia="Times New Roman" w:hAnsi="Times New Roman" w:cs="Times New Roman"/>
        </w:rPr>
        <w:t>Bur/</w:t>
      </w:r>
      <w:proofErr w:type="spellStart"/>
      <w:r>
        <w:rPr>
          <w:rFonts w:ascii="Times New Roman" w:eastAsia="Times New Roman" w:hAnsi="Times New Roman" w:cs="Times New Roman"/>
        </w:rPr>
        <w:t>Schol</w:t>
      </w:r>
      <w:proofErr w:type="spellEnd"/>
      <w:r>
        <w:rPr>
          <w:rFonts w:ascii="Times New Roman" w:eastAsia="Times New Roman" w:hAnsi="Times New Roman" w:cs="Times New Roman"/>
        </w:rPr>
        <w:t xml:space="preserve"> = Academic bursary</w:t>
      </w:r>
      <w:r w:rsidR="00E842CB">
        <w:rPr>
          <w:rFonts w:ascii="Times New Roman" w:eastAsia="Times New Roman" w:hAnsi="Times New Roman" w:cs="Times New Roman"/>
        </w:rPr>
        <w:t>/</w:t>
      </w:r>
      <w:r w:rsidR="00E842CB" w:rsidRPr="00E842CB">
        <w:rPr>
          <w:rFonts w:ascii="Times New Roman" w:eastAsia="Times New Roman" w:hAnsi="Times New Roman" w:cs="Times New Roman"/>
        </w:rPr>
        <w:t xml:space="preserve"> </w:t>
      </w:r>
      <w:r w:rsidR="00E842CB">
        <w:rPr>
          <w:rFonts w:ascii="Times New Roman" w:eastAsia="Times New Roman" w:hAnsi="Times New Roman" w:cs="Times New Roman"/>
        </w:rPr>
        <w:t>scholarship</w:t>
      </w:r>
    </w:p>
    <w:p w:rsidR="00DD5E8F" w:rsidRDefault="00DD5E8F" w:rsidP="00AE7588">
      <w:pPr>
        <w:pStyle w:val="Body"/>
        <w:spacing w:line="360" w:lineRule="auto"/>
        <w:ind w:left="1440" w:right="737"/>
        <w:rPr>
          <w:rFonts w:ascii="Times New Roman" w:eastAsia="Times New Roman" w:hAnsi="Times New Roman" w:cs="Times New Roman"/>
        </w:rPr>
      </w:pPr>
      <w:r>
        <w:rPr>
          <w:rFonts w:ascii="Times New Roman" w:eastAsia="Times New Roman" w:hAnsi="Times New Roman" w:cs="Times New Roman"/>
        </w:rPr>
        <w:t>NSFAS = Loan</w:t>
      </w:r>
    </w:p>
    <w:p w:rsidR="00DD5E8F" w:rsidRPr="00EF0F38" w:rsidRDefault="00DD5E8F" w:rsidP="00FC31D4">
      <w:pPr>
        <w:pStyle w:val="Body"/>
        <w:spacing w:line="360" w:lineRule="auto"/>
        <w:ind w:left="426" w:right="737"/>
        <w:rPr>
          <w:rFonts w:ascii="Times New Roman" w:eastAsia="Times New Roman" w:hAnsi="Times New Roman" w:cs="Times New Roman"/>
        </w:rPr>
      </w:pPr>
      <w:r w:rsidRPr="00FC31D4">
        <w:rPr>
          <w:rFonts w:ascii="Times New Roman" w:hAnsi="Times New Roman" w:cs="Times New Roman"/>
          <w:bCs/>
        </w:rPr>
        <w:t>Axes</w:t>
      </w:r>
      <w:r w:rsidR="00022D55" w:rsidRPr="00FC31D4">
        <w:rPr>
          <w:rFonts w:ascii="Times New Roman" w:hAnsi="Times New Roman" w:cs="Times New Roman"/>
          <w:bCs/>
        </w:rPr>
        <w:t xml:space="preserve"> as in Figure 1</w:t>
      </w:r>
    </w:p>
    <w:p w:rsidR="00DD5E8F" w:rsidRDefault="00DD5E8F" w:rsidP="00AE7588">
      <w:pPr>
        <w:pStyle w:val="Body"/>
        <w:spacing w:before="100" w:after="100" w:line="360" w:lineRule="auto"/>
        <w:rPr>
          <w:rFonts w:ascii="Times New Roman"/>
        </w:rPr>
      </w:pPr>
    </w:p>
    <w:p w:rsidR="00D91F65" w:rsidRDefault="00022D55" w:rsidP="00AE7588">
      <w:pPr>
        <w:pStyle w:val="Body"/>
        <w:spacing w:before="100" w:after="100" w:line="360" w:lineRule="auto"/>
        <w:rPr>
          <w:rFonts w:ascii="Times New Roman" w:eastAsia="Times New Roman" w:hAnsi="Times New Roman" w:cs="Times New Roman"/>
        </w:rPr>
      </w:pPr>
      <w:r>
        <w:rPr>
          <w:rFonts w:ascii="Times New Roman"/>
        </w:rPr>
        <w:t>There was a s</w:t>
      </w:r>
      <w:r w:rsidR="00C50C4E">
        <w:rPr>
          <w:rFonts w:ascii="Times New Roman"/>
        </w:rPr>
        <w:t xml:space="preserve">tatistically </w:t>
      </w:r>
      <w:r>
        <w:rPr>
          <w:rFonts w:ascii="Times New Roman"/>
        </w:rPr>
        <w:t>significant (</w:t>
      </w:r>
      <w:r>
        <w:rPr>
          <w:rFonts w:ascii="Times New Roman"/>
          <w:i/>
          <w:iCs/>
        </w:rPr>
        <w:t>p</w:t>
      </w:r>
      <w:r>
        <w:rPr>
          <w:rFonts w:ascii="Times New Roman"/>
        </w:rPr>
        <w:t xml:space="preserve"> = 0.001) </w:t>
      </w:r>
      <w:r w:rsidR="00C50C4E">
        <w:rPr>
          <w:rFonts w:ascii="Times New Roman"/>
        </w:rPr>
        <w:t xml:space="preserve">difference between </w:t>
      </w:r>
      <w:r>
        <w:rPr>
          <w:rFonts w:ascii="Times New Roman"/>
        </w:rPr>
        <w:t>the marks of</w:t>
      </w:r>
      <w:r w:rsidR="00C50C4E">
        <w:rPr>
          <w:rFonts w:ascii="Times New Roman"/>
        </w:rPr>
        <w:t xml:space="preserve"> students without</w:t>
      </w:r>
      <w:r w:rsidR="00C51430">
        <w:rPr>
          <w:rFonts w:ascii="Times New Roman"/>
        </w:rPr>
        <w:t xml:space="preserve"> external</w:t>
      </w:r>
      <w:r w:rsidR="00C50C4E">
        <w:rPr>
          <w:rFonts w:ascii="Times New Roman"/>
        </w:rPr>
        <w:t xml:space="preserve"> financial </w:t>
      </w:r>
      <w:r>
        <w:rPr>
          <w:rFonts w:ascii="Times New Roman"/>
        </w:rPr>
        <w:t>aid</w:t>
      </w:r>
      <w:r w:rsidR="00C50C4E">
        <w:rPr>
          <w:rFonts w:ascii="Times New Roman"/>
        </w:rPr>
        <w:t xml:space="preserve"> and those </w:t>
      </w:r>
      <w:r>
        <w:rPr>
          <w:rFonts w:ascii="Times New Roman"/>
        </w:rPr>
        <w:t>on</w:t>
      </w:r>
      <w:r w:rsidR="00C50C4E">
        <w:rPr>
          <w:rFonts w:ascii="Times New Roman"/>
        </w:rPr>
        <w:t xml:space="preserve"> NSFAS loan</w:t>
      </w:r>
      <w:r>
        <w:rPr>
          <w:rFonts w:ascii="Times New Roman"/>
        </w:rPr>
        <w:t>s</w:t>
      </w:r>
      <w:r w:rsidR="00C50C4E">
        <w:rPr>
          <w:rFonts w:ascii="Times New Roman"/>
        </w:rPr>
        <w:t xml:space="preserve">. </w:t>
      </w:r>
    </w:p>
    <w:p w:rsidR="00D91F65" w:rsidRDefault="00022D55" w:rsidP="00AE7588">
      <w:pPr>
        <w:pStyle w:val="Body"/>
        <w:spacing w:before="100" w:after="100" w:line="360" w:lineRule="auto"/>
        <w:ind w:firstLine="426"/>
        <w:rPr>
          <w:rFonts w:ascii="Times New Roman" w:eastAsia="Times New Roman" w:hAnsi="Times New Roman" w:cs="Times New Roman"/>
        </w:rPr>
      </w:pPr>
      <w:r>
        <w:rPr>
          <w:rFonts w:ascii="Times New Roman"/>
        </w:rPr>
        <w:t>Students with</w:t>
      </w:r>
      <w:r w:rsidR="00C50C4E">
        <w:rPr>
          <w:rFonts w:ascii="Times New Roman"/>
        </w:rPr>
        <w:t xml:space="preserve"> bursaries or scholarships might be expected to do better than the other two groups, since their awards were on the basis of academic merit. On the other hand, </w:t>
      </w:r>
      <w:r w:rsidR="005017F3">
        <w:rPr>
          <w:rFonts w:ascii="Times New Roman"/>
        </w:rPr>
        <w:t xml:space="preserve">both </w:t>
      </w:r>
      <w:r w:rsidR="00C50C4E">
        <w:rPr>
          <w:rFonts w:ascii="Times New Roman"/>
        </w:rPr>
        <w:t>resources and pressure to</w:t>
      </w:r>
      <w:r w:rsidR="005017F3">
        <w:rPr>
          <w:rFonts w:ascii="Times New Roman"/>
        </w:rPr>
        <w:t xml:space="preserve"> achieve arising from their families</w:t>
      </w:r>
      <w:r w:rsidR="00C50C4E">
        <w:rPr>
          <w:rFonts w:ascii="Times New Roman"/>
        </w:rPr>
        <w:t xml:space="preserve"> might be greater for students receiving no institutional financial support. As </w:t>
      </w:r>
      <w:proofErr w:type="spellStart"/>
      <w:r w:rsidR="00C50C4E">
        <w:rPr>
          <w:rFonts w:ascii="Times New Roman"/>
        </w:rPr>
        <w:t>Krish</w:t>
      </w:r>
      <w:proofErr w:type="spellEnd"/>
      <w:r w:rsidR="00C50C4E">
        <w:rPr>
          <w:rFonts w:ascii="Times New Roman"/>
        </w:rPr>
        <w:t xml:space="preserve"> explained, compared to poorer students with financial aid and living in university residences, </w:t>
      </w:r>
      <w:r w:rsidR="005017F3">
        <w:rPr>
          <w:rFonts w:ascii="Times New Roman"/>
        </w:rPr>
        <w:t>more affluent</w:t>
      </w:r>
      <w:r w:rsidR="00C50C4E">
        <w:rPr>
          <w:rFonts w:ascii="Times New Roman"/>
        </w:rPr>
        <w:t xml:space="preserve"> students living at home under </w:t>
      </w:r>
      <w:r w:rsidR="005017F3">
        <w:rPr>
          <w:rFonts w:ascii="Times New Roman"/>
        </w:rPr>
        <w:t>their parents</w:t>
      </w:r>
      <w:r w:rsidR="005017F3">
        <w:rPr>
          <w:rFonts w:ascii="Times New Roman"/>
        </w:rPr>
        <w:t>’</w:t>
      </w:r>
      <w:r w:rsidR="005017F3">
        <w:rPr>
          <w:rFonts w:ascii="Times New Roman"/>
        </w:rPr>
        <w:t xml:space="preserve"> </w:t>
      </w:r>
      <w:r w:rsidR="00C50C4E">
        <w:rPr>
          <w:rFonts w:ascii="Times New Roman"/>
        </w:rPr>
        <w:t>watchful eye</w:t>
      </w:r>
      <w:r w:rsidR="005017F3">
        <w:rPr>
          <w:rFonts w:ascii="Times New Roman"/>
        </w:rPr>
        <w:t>s</w:t>
      </w:r>
      <w:r w:rsidR="00C50C4E">
        <w:rPr>
          <w:rFonts w:ascii="Times New Roman"/>
        </w:rPr>
        <w:t xml:space="preserve"> might </w:t>
      </w:r>
      <w:r w:rsidR="005017F3">
        <w:rPr>
          <w:rFonts w:ascii="Times New Roman"/>
        </w:rPr>
        <w:t xml:space="preserve">as a result </w:t>
      </w:r>
      <w:r w:rsidR="00C50C4E">
        <w:rPr>
          <w:rFonts w:ascii="Times New Roman"/>
        </w:rPr>
        <w:t xml:space="preserve">have </w:t>
      </w:r>
      <w:r w:rsidR="005017F3">
        <w:rPr>
          <w:rFonts w:ascii="Times New Roman"/>
        </w:rPr>
        <w:t>achieved better marks</w:t>
      </w:r>
      <w:r w:rsidR="00EF0F38">
        <w:rPr>
          <w:rFonts w:ascii="Times New Roman"/>
        </w:rPr>
        <w:t xml:space="preserve"> </w:t>
      </w:r>
      <w:r w:rsidR="00C50C4E">
        <w:rPr>
          <w:rFonts w:ascii="Times New Roman"/>
        </w:rPr>
        <w:t xml:space="preserve">than the former. </w:t>
      </w:r>
    </w:p>
    <w:p w:rsidR="00D91F65" w:rsidRPr="0025112E" w:rsidRDefault="00C50C4E" w:rsidP="00AE7588">
      <w:pPr>
        <w:pStyle w:val="Quote"/>
        <w:rPr>
          <w:rFonts w:ascii="Calibri" w:eastAsia="Times New Roman" w:hAnsi="Calibri" w:cs="Times New Roman"/>
          <w:sz w:val="24"/>
          <w:szCs w:val="24"/>
        </w:rPr>
      </w:pPr>
      <w:r w:rsidRPr="0025112E">
        <w:rPr>
          <w:rFonts w:ascii="Calibri" w:hAnsi="Calibri"/>
          <w:sz w:val="24"/>
          <w:szCs w:val="24"/>
        </w:rPr>
        <w:t xml:space="preserve">But still they have a lot more freedom as well, because they’re away from home. They don’t have their parents to – well, not living under the roofs of their parents – have </w:t>
      </w:r>
      <w:proofErr w:type="gramStart"/>
      <w:r w:rsidRPr="0025112E">
        <w:rPr>
          <w:rFonts w:ascii="Calibri" w:hAnsi="Calibri"/>
          <w:sz w:val="24"/>
          <w:szCs w:val="24"/>
        </w:rPr>
        <w:t>them</w:t>
      </w:r>
      <w:proofErr w:type="gramEnd"/>
      <w:r w:rsidRPr="0025112E">
        <w:rPr>
          <w:rFonts w:ascii="Calibri" w:hAnsi="Calibri"/>
          <w:sz w:val="24"/>
          <w:szCs w:val="24"/>
        </w:rPr>
        <w:t xml:space="preserve"> tell them what to do – monitor them.</w:t>
      </w:r>
      <w:r w:rsidRPr="0025112E">
        <w:rPr>
          <w:rFonts w:ascii="Calibri" w:hAnsi="Calibri"/>
          <w:sz w:val="24"/>
          <w:szCs w:val="24"/>
        </w:rPr>
        <w:tab/>
      </w:r>
      <w:proofErr w:type="spellStart"/>
      <w:r w:rsidRPr="0025112E">
        <w:rPr>
          <w:rFonts w:ascii="Calibri" w:hAnsi="Calibri"/>
          <w:sz w:val="24"/>
          <w:szCs w:val="24"/>
        </w:rPr>
        <w:t>Krish</w:t>
      </w:r>
      <w:proofErr w:type="spellEnd"/>
      <w:r w:rsidRPr="0025112E">
        <w:rPr>
          <w:rFonts w:ascii="Calibri" w:hAnsi="Calibri"/>
          <w:sz w:val="24"/>
          <w:szCs w:val="24"/>
        </w:rPr>
        <w:t xml:space="preserve"> </w:t>
      </w:r>
    </w:p>
    <w:p w:rsidR="00D91F65" w:rsidRDefault="00D91F65" w:rsidP="00AE7588">
      <w:pPr>
        <w:pStyle w:val="Body"/>
        <w:spacing w:before="100" w:after="100" w:line="360" w:lineRule="auto"/>
        <w:rPr>
          <w:rFonts w:ascii="Times New Roman" w:eastAsia="Times New Roman" w:hAnsi="Times New Roman" w:cs="Times New Roman"/>
        </w:rPr>
      </w:pPr>
    </w:p>
    <w:p w:rsidR="00D91F65" w:rsidRDefault="00C50C4E" w:rsidP="00AE7588">
      <w:pPr>
        <w:pStyle w:val="Body"/>
        <w:spacing w:before="100" w:after="100" w:line="360" w:lineRule="auto"/>
        <w:rPr>
          <w:rFonts w:ascii="Times New Roman" w:eastAsia="Times New Roman" w:hAnsi="Times New Roman" w:cs="Times New Roman"/>
        </w:rPr>
      </w:pPr>
      <w:r>
        <w:rPr>
          <w:rFonts w:ascii="Times New Roman"/>
        </w:rPr>
        <w:t>The five diversity factors discussed here have been shown in other circumstances to affect learners</w:t>
      </w:r>
      <w:r>
        <w:rPr>
          <w:rFonts w:hAnsi="Times New Roman"/>
          <w:lang w:val="fr-FR"/>
        </w:rPr>
        <w:t>’</w:t>
      </w:r>
      <w:r>
        <w:rPr>
          <w:rFonts w:hAnsi="Times New Roman"/>
          <w:lang w:val="fr-FR"/>
        </w:rPr>
        <w:t xml:space="preserve"> </w:t>
      </w:r>
      <w:r>
        <w:rPr>
          <w:rFonts w:ascii="Times New Roman"/>
        </w:rPr>
        <w:t xml:space="preserve">intellectual achievements, </w:t>
      </w:r>
      <w:r w:rsidR="00534666">
        <w:rPr>
          <w:rFonts w:ascii="Times New Roman"/>
        </w:rPr>
        <w:t xml:space="preserve">in and </w:t>
      </w:r>
      <w:r>
        <w:rPr>
          <w:rFonts w:ascii="Times New Roman"/>
        </w:rPr>
        <w:t>of themselves,</w:t>
      </w:r>
      <w:r w:rsidR="007973DB">
        <w:rPr>
          <w:rFonts w:ascii="Times New Roman"/>
        </w:rPr>
        <w:t xml:space="preserve"> and</w:t>
      </w:r>
      <w:r>
        <w:rPr>
          <w:rFonts w:ascii="Times New Roman"/>
        </w:rPr>
        <w:t xml:space="preserve"> to confer significant advantages and corresponding disadvantages </w:t>
      </w:r>
      <w:r w:rsidR="00614A16">
        <w:rPr>
          <w:rFonts w:ascii="Times New Roman"/>
        </w:rPr>
        <w:t>o</w:t>
      </w:r>
      <w:r>
        <w:rPr>
          <w:rFonts w:ascii="Times New Roman"/>
        </w:rPr>
        <w:t>n students exhibiting different aspects of these factors. Our contention is that the majority of research has been conducted in</w:t>
      </w:r>
      <w:r w:rsidR="00614A16">
        <w:rPr>
          <w:rFonts w:ascii="Times New Roman"/>
        </w:rPr>
        <w:t xml:space="preserve"> primary and secondary</w:t>
      </w:r>
      <w:r>
        <w:rPr>
          <w:rFonts w:ascii="Times New Roman"/>
        </w:rPr>
        <w:t xml:space="preserve"> schools, in which learners </w:t>
      </w:r>
      <w:r w:rsidR="00614A16">
        <w:rPr>
          <w:rFonts w:ascii="Times New Roman"/>
        </w:rPr>
        <w:t xml:space="preserve">exhibit </w:t>
      </w:r>
      <w:r>
        <w:rPr>
          <w:rFonts w:ascii="Times New Roman"/>
        </w:rPr>
        <w:t xml:space="preserve">the whole gamut of conditions pertaining in society and thus display not </w:t>
      </w:r>
      <w:r w:rsidR="00614A16">
        <w:rPr>
          <w:rFonts w:ascii="Times New Roman"/>
        </w:rPr>
        <w:t xml:space="preserve">only </w:t>
      </w:r>
      <w:r>
        <w:rPr>
          <w:rFonts w:ascii="Times New Roman"/>
        </w:rPr>
        <w:t>the average positions on various demographic scales but also the extremes that make for measurable differences. Medical students</w:t>
      </w:r>
      <w:r w:rsidR="00122B6E">
        <w:rPr>
          <w:rFonts w:ascii="Times New Roman"/>
        </w:rPr>
        <w:t>, in contrast,</w:t>
      </w:r>
      <w:r>
        <w:rPr>
          <w:rFonts w:ascii="Times New Roman"/>
        </w:rPr>
        <w:t xml:space="preserve"> </w:t>
      </w:r>
      <w:r w:rsidR="00122B6E">
        <w:rPr>
          <w:rFonts w:ascii="Times New Roman"/>
        </w:rPr>
        <w:t>a</w:t>
      </w:r>
      <w:r>
        <w:rPr>
          <w:rFonts w:ascii="Times New Roman"/>
        </w:rPr>
        <w:t xml:space="preserve">re an elite group; they are among the most carefully chosen students. </w:t>
      </w:r>
      <w:r w:rsidR="00C51430">
        <w:rPr>
          <w:rFonts w:ascii="Times New Roman"/>
        </w:rPr>
        <w:t>As well as</w:t>
      </w:r>
      <w:r>
        <w:rPr>
          <w:rFonts w:ascii="Times New Roman"/>
        </w:rPr>
        <w:t xml:space="preserve"> the painstakingly deliberate selection for admission to medical school, a selection-by-survival process has produced, out of high school, those individuals who have triumphed over the adversities active in their lives. </w:t>
      </w:r>
    </w:p>
    <w:p w:rsidR="00D91F65" w:rsidRDefault="00C50C4E" w:rsidP="00AE7588">
      <w:pPr>
        <w:pStyle w:val="Body"/>
        <w:spacing w:before="100" w:after="100" w:line="360" w:lineRule="auto"/>
        <w:ind w:firstLine="426"/>
        <w:rPr>
          <w:rFonts w:ascii="Times New Roman" w:eastAsia="Times New Roman" w:hAnsi="Times New Roman" w:cs="Times New Roman"/>
        </w:rPr>
      </w:pPr>
      <w:r>
        <w:rPr>
          <w:rFonts w:ascii="Times New Roman"/>
        </w:rPr>
        <w:t>Race, language, sex, age and financial status are generally perceived, and have been measured, to be significant, and sometimes crippling, issues for learners. We are aware of the stresses associated with the study of medicine, and suggest that this study be duplicated in other disciplines</w:t>
      </w:r>
      <w:r>
        <w:rPr>
          <w:rFonts w:hAnsi="Times New Roman"/>
          <w:lang w:val="fr-FR"/>
        </w:rPr>
        <w:t>’</w:t>
      </w:r>
      <w:r>
        <w:rPr>
          <w:rFonts w:hAnsi="Times New Roman"/>
          <w:lang w:val="fr-FR"/>
        </w:rPr>
        <w:t xml:space="preserve"> </w:t>
      </w:r>
      <w:proofErr w:type="spellStart"/>
      <w:r>
        <w:rPr>
          <w:rFonts w:ascii="Times New Roman"/>
        </w:rPr>
        <w:t>programmes</w:t>
      </w:r>
      <w:proofErr w:type="spellEnd"/>
      <w:r>
        <w:rPr>
          <w:rFonts w:ascii="Times New Roman"/>
        </w:rPr>
        <w:t xml:space="preserve"> and in other institutions of higher education to verify the influence of these factors on academic progression. </w:t>
      </w:r>
    </w:p>
    <w:p w:rsidR="00D91F65" w:rsidRDefault="00D91F65" w:rsidP="00AE7588">
      <w:pPr>
        <w:pStyle w:val="Body"/>
        <w:spacing w:line="360" w:lineRule="auto"/>
        <w:jc w:val="left"/>
        <w:rPr>
          <w:rFonts w:ascii="Times New Roman" w:eastAsia="Times New Roman" w:hAnsi="Times New Roman" w:cs="Times New Roman"/>
          <w:shd w:val="clear" w:color="auto" w:fill="00FF00"/>
        </w:rPr>
      </w:pPr>
    </w:p>
    <w:p w:rsidR="00D91F65" w:rsidRDefault="00C50C4E" w:rsidP="00AE7588">
      <w:pPr>
        <w:pStyle w:val="Body"/>
        <w:spacing w:line="360" w:lineRule="auto"/>
        <w:jc w:val="left"/>
        <w:rPr>
          <w:rFonts w:ascii="Times New Roman" w:eastAsia="Times New Roman" w:hAnsi="Times New Roman" w:cs="Times New Roman"/>
          <w:b/>
          <w:bCs/>
        </w:rPr>
      </w:pPr>
      <w:r>
        <w:rPr>
          <w:rFonts w:ascii="Times New Roman"/>
          <w:b/>
          <w:bCs/>
        </w:rPr>
        <w:t>Conclusion</w:t>
      </w:r>
    </w:p>
    <w:p w:rsidR="00D91F65" w:rsidRDefault="00C50C4E" w:rsidP="00AE7588">
      <w:pPr>
        <w:pStyle w:val="Body"/>
        <w:spacing w:before="100" w:after="100" w:line="360" w:lineRule="auto"/>
        <w:rPr>
          <w:rFonts w:ascii="Times New Roman" w:eastAsia="Times New Roman" w:hAnsi="Times New Roman" w:cs="Times New Roman"/>
        </w:rPr>
      </w:pPr>
      <w:r>
        <w:rPr>
          <w:rFonts w:ascii="Times New Roman"/>
        </w:rPr>
        <w:lastRenderedPageBreak/>
        <w:t>An extensive body of literature documents a variety of non-cognitive influences on academic performance. These remain inferences rather than reasons substantiated by interaction with those studied.</w:t>
      </w:r>
    </w:p>
    <w:p w:rsidR="00D91F65" w:rsidRDefault="00C50C4E" w:rsidP="00AE7588">
      <w:pPr>
        <w:pStyle w:val="Body"/>
        <w:spacing w:before="100" w:after="100" w:line="360" w:lineRule="auto"/>
        <w:ind w:firstLine="720"/>
        <w:rPr>
          <w:rFonts w:ascii="Times New Roman" w:eastAsia="Times New Roman" w:hAnsi="Times New Roman" w:cs="Times New Roman"/>
        </w:rPr>
      </w:pPr>
      <w:r>
        <w:rPr>
          <w:rFonts w:ascii="Times New Roman"/>
        </w:rPr>
        <w:t xml:space="preserve">In our study, statistical analysis of numerical data essentially confirms what has been documented elsewhere: students with perceptible disadvantages tend to do less well than their more fortunate peers </w:t>
      </w:r>
      <w:r>
        <w:rPr>
          <w:rFonts w:hAnsi="Times New Roman"/>
        </w:rPr>
        <w:t>—</w:t>
      </w:r>
      <w:r>
        <w:rPr>
          <w:rFonts w:ascii="Times New Roman"/>
        </w:rPr>
        <w:t xml:space="preserve"> whether the disadvantage is perceived in racial, linguistic, or financial terms.</w:t>
      </w:r>
      <w:r w:rsidR="00122B6E">
        <w:rPr>
          <w:rFonts w:ascii="Times New Roman"/>
        </w:rPr>
        <w:t xml:space="preserve"> We have also demonstrated the longevity of these effects.</w:t>
      </w:r>
      <w:r>
        <w:rPr>
          <w:rFonts w:ascii="Times New Roman"/>
        </w:rPr>
        <w:t xml:space="preserve"> </w:t>
      </w:r>
      <w:r w:rsidR="00122B6E">
        <w:rPr>
          <w:rFonts w:ascii="Times New Roman"/>
        </w:rPr>
        <w:t>Furthermore</w:t>
      </w:r>
      <w:r>
        <w:rPr>
          <w:rFonts w:ascii="Times New Roman"/>
        </w:rPr>
        <w:t>, by adopting a complementary mixed methods approach, we found that the corresponding interview data clarify the dynamics operating in the lives of the students concerned, and help explain the underlying forces that give rise to the statistics. This paper highlights that behind the statistics lies a network of interacti</w:t>
      </w:r>
      <w:r w:rsidR="00675A2D">
        <w:rPr>
          <w:rFonts w:ascii="Times New Roman"/>
        </w:rPr>
        <w:t>ve fact</w:t>
      </w:r>
      <w:r>
        <w:rPr>
          <w:rFonts w:ascii="Times New Roman"/>
        </w:rPr>
        <w:t>o</w:t>
      </w:r>
      <w:r w:rsidR="00675A2D">
        <w:rPr>
          <w:rFonts w:ascii="Times New Roman"/>
        </w:rPr>
        <w:t>r</w:t>
      </w:r>
      <w:r>
        <w:rPr>
          <w:rFonts w:ascii="Times New Roman"/>
        </w:rPr>
        <w:t>s rather than a single causative explanation.  These findings have implications for curriculum development, student selection and throughput in higher education.</w:t>
      </w:r>
    </w:p>
    <w:p w:rsidR="00D91F65" w:rsidRDefault="00C50C4E" w:rsidP="00AE7588">
      <w:pPr>
        <w:pStyle w:val="Body"/>
        <w:spacing w:before="100" w:after="100" w:line="360" w:lineRule="auto"/>
        <w:ind w:firstLine="720"/>
        <w:rPr>
          <w:rFonts w:ascii="Times New Roman" w:eastAsia="Times New Roman" w:hAnsi="Times New Roman" w:cs="Times New Roman"/>
        </w:rPr>
      </w:pPr>
      <w:r>
        <w:rPr>
          <w:rFonts w:ascii="Times New Roman"/>
        </w:rPr>
        <w:t xml:space="preserve"> We do not argue in </w:t>
      </w:r>
      <w:proofErr w:type="spellStart"/>
      <w:r>
        <w:rPr>
          <w:rFonts w:ascii="Times New Roman"/>
        </w:rPr>
        <w:t>favour</w:t>
      </w:r>
      <w:proofErr w:type="spellEnd"/>
      <w:r>
        <w:rPr>
          <w:rFonts w:ascii="Times New Roman"/>
        </w:rPr>
        <w:t xml:space="preserve"> of specific support for racial, linguistic and financial </w:t>
      </w:r>
      <w:r>
        <w:rPr>
          <w:rFonts w:hAnsi="Times New Roman"/>
        </w:rPr>
        <w:t>‘</w:t>
      </w:r>
      <w:r>
        <w:rPr>
          <w:rFonts w:ascii="Times New Roman"/>
        </w:rPr>
        <w:t>deficits</w:t>
      </w:r>
      <w:r>
        <w:rPr>
          <w:rFonts w:hAnsi="Times New Roman"/>
          <w:lang w:val="fr-FR"/>
        </w:rPr>
        <w:t>’</w:t>
      </w:r>
      <w:r>
        <w:rPr>
          <w:rFonts w:hAnsi="Times New Roman"/>
          <w:lang w:val="fr-FR"/>
        </w:rPr>
        <w:t xml:space="preserve"> </w:t>
      </w:r>
      <w:r>
        <w:rPr>
          <w:rFonts w:hAnsi="Times New Roman"/>
        </w:rPr>
        <w:t>—</w:t>
      </w:r>
      <w:r>
        <w:rPr>
          <w:rFonts w:ascii="Times New Roman"/>
        </w:rPr>
        <w:t xml:space="preserve"> an oft-heard and simplistic response. We present the insight that a degree of analytical complexity may be necessary when investigating the numerous elements of a multifactorial concept such as academic achievement. As Samuel (</w:t>
      </w:r>
      <w:r w:rsidR="00A13816">
        <w:rPr>
          <w:rFonts w:ascii="Times New Roman"/>
        </w:rPr>
        <w:t>2008</w:t>
      </w:r>
      <w:r>
        <w:rPr>
          <w:rFonts w:ascii="Times New Roman"/>
        </w:rPr>
        <w:t>) pointed out in an analogous context, student characteristics con</w:t>
      </w:r>
      <w:r w:rsidR="00675A2D">
        <w:rPr>
          <w:rFonts w:ascii="Times New Roman"/>
        </w:rPr>
        <w:t>s</w:t>
      </w:r>
      <w:r>
        <w:rPr>
          <w:rFonts w:ascii="Times New Roman"/>
        </w:rPr>
        <w:t>ti</w:t>
      </w:r>
      <w:r w:rsidR="00675A2D">
        <w:rPr>
          <w:rFonts w:ascii="Times New Roman"/>
        </w:rPr>
        <w:t>t</w:t>
      </w:r>
      <w:r>
        <w:rPr>
          <w:rFonts w:ascii="Times New Roman"/>
        </w:rPr>
        <w:t xml:space="preserve">ute but one of several forces acting to shape the professional-in-training. One would do well to concentrate on those exerting a significant effect independent of other factors, which we </w:t>
      </w:r>
      <w:r w:rsidR="00675A2D">
        <w:rPr>
          <w:rFonts w:ascii="Times New Roman"/>
        </w:rPr>
        <w:t xml:space="preserve">are </w:t>
      </w:r>
      <w:r>
        <w:rPr>
          <w:rFonts w:ascii="Times New Roman"/>
        </w:rPr>
        <w:t>explor</w:t>
      </w:r>
      <w:r w:rsidR="00675A2D">
        <w:rPr>
          <w:rFonts w:ascii="Times New Roman"/>
        </w:rPr>
        <w:t>ing</w:t>
      </w:r>
      <w:r>
        <w:rPr>
          <w:rFonts w:ascii="Times New Roman"/>
        </w:rPr>
        <w:t xml:space="preserve"> in further studies. It is not yet clear whether educational policy on access, redress and transformation of academe should shift its focus from the intuitively obvious factors to those</w:t>
      </w:r>
      <w:r w:rsidR="00E644A7">
        <w:rPr>
          <w:rFonts w:ascii="Times New Roman"/>
        </w:rPr>
        <w:t xml:space="preserve"> that might be</w:t>
      </w:r>
      <w:r>
        <w:rPr>
          <w:rFonts w:ascii="Times New Roman"/>
        </w:rPr>
        <w:t xml:space="preserve"> revealed by complex methodologies. We would, however, expect similar studies in other higher education settings to yield similar results, since </w:t>
      </w:r>
      <w:r w:rsidR="00675A2D">
        <w:rPr>
          <w:rFonts w:ascii="Times New Roman"/>
        </w:rPr>
        <w:t xml:space="preserve">all the </w:t>
      </w:r>
      <w:r>
        <w:rPr>
          <w:rFonts w:ascii="Times New Roman"/>
        </w:rPr>
        <w:t>students</w:t>
      </w:r>
      <w:r w:rsidR="00675A2D">
        <w:rPr>
          <w:rFonts w:ascii="Times New Roman"/>
        </w:rPr>
        <w:t xml:space="preserve"> in</w:t>
      </w:r>
      <w:r w:rsidR="00221E58">
        <w:rPr>
          <w:rFonts w:ascii="Times New Roman"/>
        </w:rPr>
        <w:t xml:space="preserve"> the field </w:t>
      </w:r>
      <w:r>
        <w:rPr>
          <w:rFonts w:ascii="Times New Roman"/>
        </w:rPr>
        <w:t xml:space="preserve">are subject to selection criteria. We </w:t>
      </w:r>
      <w:r w:rsidR="00CB1514">
        <w:rPr>
          <w:rFonts w:ascii="Times New Roman"/>
        </w:rPr>
        <w:t>consider</w:t>
      </w:r>
      <w:r>
        <w:rPr>
          <w:rFonts w:ascii="Times New Roman"/>
        </w:rPr>
        <w:t xml:space="preserve"> that this study</w:t>
      </w:r>
      <w:r w:rsidR="00CB1514">
        <w:rPr>
          <w:rFonts w:ascii="Times New Roman"/>
        </w:rPr>
        <w:t>’</w:t>
      </w:r>
      <w:r w:rsidR="00CB1514">
        <w:rPr>
          <w:rFonts w:ascii="Times New Roman"/>
        </w:rPr>
        <w:t xml:space="preserve">s findings </w:t>
      </w:r>
      <w:r>
        <w:rPr>
          <w:rFonts w:ascii="Times New Roman"/>
        </w:rPr>
        <w:t>are reproducible</w:t>
      </w:r>
      <w:r w:rsidR="00090841">
        <w:rPr>
          <w:rFonts w:ascii="Times New Roman"/>
        </w:rPr>
        <w:t>, despite the limitations of following only one cohort of students and interviewing a small number of that cohort.</w:t>
      </w:r>
      <w:r>
        <w:rPr>
          <w:rFonts w:ascii="Times New Roman"/>
        </w:rPr>
        <w:t xml:space="preserve"> </w:t>
      </w:r>
      <w:r w:rsidR="00090841">
        <w:rPr>
          <w:rFonts w:ascii="Times New Roman"/>
        </w:rPr>
        <w:t>I</w:t>
      </w:r>
      <w:r>
        <w:rPr>
          <w:rFonts w:ascii="Times New Roman"/>
        </w:rPr>
        <w:t>t would be salutary to repeat the study elsewhere in the sphere of h</w:t>
      </w:r>
      <w:r w:rsidR="00E644A7">
        <w:rPr>
          <w:rFonts w:ascii="Times New Roman"/>
        </w:rPr>
        <w:t>ealth sc</w:t>
      </w:r>
      <w:r>
        <w:rPr>
          <w:rFonts w:ascii="Times New Roman"/>
        </w:rPr>
        <w:t>ie</w:t>
      </w:r>
      <w:r w:rsidR="00E644A7">
        <w:rPr>
          <w:rFonts w:ascii="Times New Roman"/>
        </w:rPr>
        <w:t>nce</w:t>
      </w:r>
      <w:r>
        <w:rPr>
          <w:rFonts w:ascii="Times New Roman"/>
        </w:rPr>
        <w:t xml:space="preserve"> education in order to confirm our results and broaden their applicability. Broadening the scope of the study </w:t>
      </w:r>
      <w:r w:rsidR="00221E58">
        <w:rPr>
          <w:rFonts w:ascii="Times New Roman"/>
        </w:rPr>
        <w:t>by</w:t>
      </w:r>
      <w:r>
        <w:rPr>
          <w:rFonts w:ascii="Times New Roman"/>
        </w:rPr>
        <w:t xml:space="preserve"> including factors other than those to which we had ready access would be a further recommendation. </w:t>
      </w:r>
      <w:proofErr w:type="spellStart"/>
      <w:r w:rsidRPr="00AE7588">
        <w:rPr>
          <w:rFonts w:ascii="Times New Roman" w:hAnsi="Times New Roman" w:cs="Times New Roman"/>
        </w:rPr>
        <w:t>Mwamwenda</w:t>
      </w:r>
      <w:proofErr w:type="spellEnd"/>
      <w:r w:rsidRPr="00AE7588">
        <w:rPr>
          <w:rFonts w:ascii="Times New Roman" w:hAnsi="Times New Roman" w:cs="Times New Roman"/>
          <w:lang w:val="fr-FR"/>
        </w:rPr>
        <w:t>’</w:t>
      </w:r>
      <w:r w:rsidRPr="00AE7588">
        <w:rPr>
          <w:rFonts w:ascii="Times New Roman" w:hAnsi="Times New Roman" w:cs="Times New Roman"/>
        </w:rPr>
        <w:t>s (</w:t>
      </w:r>
      <w:r w:rsidR="00A13816">
        <w:rPr>
          <w:rFonts w:ascii="Times New Roman" w:hAnsi="Times New Roman" w:cs="Times New Roman"/>
        </w:rPr>
        <w:t>1</w:t>
      </w:r>
      <w:r w:rsidR="00ED70D7" w:rsidRPr="00AE7588">
        <w:rPr>
          <w:rFonts w:ascii="Times New Roman" w:hAnsi="Times New Roman" w:cs="Times New Roman"/>
        </w:rPr>
        <w:t>9</w:t>
      </w:r>
      <w:r w:rsidR="00A13816">
        <w:rPr>
          <w:rFonts w:ascii="Times New Roman" w:hAnsi="Times New Roman" w:cs="Times New Roman"/>
        </w:rPr>
        <w:t>95</w:t>
      </w:r>
      <w:r w:rsidR="00ED70D7" w:rsidRPr="00AE7588">
        <w:rPr>
          <w:rFonts w:ascii="Times New Roman" w:hAnsi="Times New Roman" w:cs="Times New Roman"/>
        </w:rPr>
        <w:t>)</w:t>
      </w:r>
      <w:r w:rsidRPr="00AE7588">
        <w:rPr>
          <w:rFonts w:ascii="Times New Roman" w:hAnsi="Times New Roman" w:cs="Times New Roman"/>
        </w:rPr>
        <w:t xml:space="preserve"> assertion that, under comparable circumstances, no differences are found between races is perhaps pivotal. While numerous assertions have been made about associations between race/ethnicity</w:t>
      </w:r>
      <w:r w:rsidR="00E644A7" w:rsidRPr="00AE7588">
        <w:rPr>
          <w:rFonts w:ascii="Times New Roman" w:hAnsi="Times New Roman" w:cs="Times New Roman"/>
        </w:rPr>
        <w:t xml:space="preserve"> – </w:t>
      </w:r>
      <w:proofErr w:type="gramStart"/>
      <w:r w:rsidR="00E644A7" w:rsidRPr="00AE7588">
        <w:rPr>
          <w:rFonts w:ascii="Times New Roman" w:hAnsi="Times New Roman" w:cs="Times New Roman"/>
        </w:rPr>
        <w:t>or</w:t>
      </w:r>
      <w:proofErr w:type="gramEnd"/>
      <w:r w:rsidR="00E644A7" w:rsidRPr="00AE7588">
        <w:rPr>
          <w:rFonts w:ascii="Times New Roman" w:hAnsi="Times New Roman" w:cs="Times New Roman"/>
        </w:rPr>
        <w:t xml:space="preserve"> other non-cognitive characteristics –</w:t>
      </w:r>
      <w:r w:rsidRPr="00AE7588">
        <w:rPr>
          <w:rFonts w:ascii="Times New Roman" w:hAnsi="Times New Roman" w:cs="Times New Roman"/>
        </w:rPr>
        <w:t xml:space="preserve"> and academic performance, how does one ensure the ideal of ‘</w:t>
      </w:r>
      <w:r w:rsidRPr="00AE7588">
        <w:rPr>
          <w:rFonts w:ascii="Times New Roman" w:hAnsi="Times New Roman" w:cs="Times New Roman"/>
          <w:lang w:val="fr-FR"/>
        </w:rPr>
        <w:t xml:space="preserve">comparable conditions’ </w:t>
      </w:r>
      <w:r w:rsidRPr="00AE7588">
        <w:rPr>
          <w:rFonts w:ascii="Times New Roman" w:hAnsi="Times New Roman" w:cs="Times New Roman"/>
        </w:rPr>
        <w:t>in which to investigate</w:t>
      </w:r>
      <w:r>
        <w:rPr>
          <w:rFonts w:ascii="Times New Roman"/>
        </w:rPr>
        <w:t xml:space="preserve"> </w:t>
      </w:r>
      <w:r w:rsidRPr="00AE7588">
        <w:rPr>
          <w:rFonts w:ascii="Times New Roman" w:hAnsi="Times New Roman" w:cs="Times New Roman"/>
        </w:rPr>
        <w:lastRenderedPageBreak/>
        <w:t>the effect</w:t>
      </w:r>
      <w:r w:rsidR="00E644A7" w:rsidRPr="00AE7588">
        <w:rPr>
          <w:rFonts w:ascii="Times New Roman" w:hAnsi="Times New Roman" w:cs="Times New Roman"/>
        </w:rPr>
        <w:t>,</w:t>
      </w:r>
      <w:r w:rsidRPr="00AE7588">
        <w:rPr>
          <w:rFonts w:ascii="Times New Roman" w:hAnsi="Times New Roman" w:cs="Times New Roman"/>
        </w:rPr>
        <w:t xml:space="preserve"> f</w:t>
      </w:r>
      <w:r w:rsidR="00E644A7" w:rsidRPr="00AE7588">
        <w:rPr>
          <w:rFonts w:ascii="Times New Roman" w:hAnsi="Times New Roman" w:cs="Times New Roman"/>
        </w:rPr>
        <w:t>or example, of</w:t>
      </w:r>
      <w:r w:rsidRPr="00AE7588">
        <w:rPr>
          <w:rFonts w:ascii="Times New Roman" w:hAnsi="Times New Roman" w:cs="Times New Roman"/>
        </w:rPr>
        <w:t xml:space="preserve"> race as distinct from culture, social circumstances and economics?</w:t>
      </w:r>
      <w:r w:rsidR="00996609" w:rsidRPr="00AE7588">
        <w:rPr>
          <w:rFonts w:ascii="Times New Roman" w:hAnsi="Times New Roman" w:cs="Times New Roman"/>
        </w:rPr>
        <w:t xml:space="preserve"> (Even </w:t>
      </w:r>
      <w:r w:rsidR="00950DB2">
        <w:rPr>
          <w:rFonts w:ascii="Times New Roman" w:hAnsi="Times New Roman" w:cs="Times New Roman"/>
        </w:rPr>
        <w:t>wh</w:t>
      </w:r>
      <w:r w:rsidR="00996609" w:rsidRPr="00AE7588">
        <w:rPr>
          <w:rFonts w:ascii="Times New Roman" w:hAnsi="Times New Roman" w:cs="Times New Roman"/>
        </w:rPr>
        <w:t>i</w:t>
      </w:r>
      <w:r w:rsidR="00950DB2">
        <w:rPr>
          <w:rFonts w:ascii="Times New Roman" w:hAnsi="Times New Roman" w:cs="Times New Roman"/>
        </w:rPr>
        <w:t>le</w:t>
      </w:r>
      <w:r w:rsidR="00996609" w:rsidRPr="00AE7588">
        <w:rPr>
          <w:rFonts w:ascii="Times New Roman" w:hAnsi="Times New Roman" w:cs="Times New Roman"/>
        </w:rPr>
        <w:t xml:space="preserve"> using race as an example, we recognize that ‘race’ is a much-contested concept, but ac</w:t>
      </w:r>
      <w:r w:rsidR="00EF5E53">
        <w:rPr>
          <w:rFonts w:ascii="Times New Roman" w:hAnsi="Times New Roman" w:cs="Times New Roman"/>
        </w:rPr>
        <w:t>knowledge</w:t>
      </w:r>
      <w:r w:rsidR="00996609" w:rsidRPr="00AE7588">
        <w:rPr>
          <w:rFonts w:ascii="Times New Roman" w:hAnsi="Times New Roman" w:cs="Times New Roman"/>
        </w:rPr>
        <w:t xml:space="preserve"> that much of South Africa’s ed</w:t>
      </w:r>
      <w:r w:rsidR="00EF5E53" w:rsidRPr="00AE7588">
        <w:rPr>
          <w:rFonts w:ascii="Times New Roman" w:hAnsi="Times New Roman" w:cs="Times New Roman"/>
        </w:rPr>
        <w:t>ucational resources have</w:t>
      </w:r>
      <w:r w:rsidR="00EF5E53">
        <w:rPr>
          <w:rFonts w:ascii="Times New Roman"/>
        </w:rPr>
        <w:t xml:space="preserve"> previously and do still revolve around its dystopian use.)</w:t>
      </w:r>
      <w:r>
        <w:rPr>
          <w:rFonts w:ascii="Times New Roman"/>
        </w:rPr>
        <w:t xml:space="preserve"> Analysis at another level </w:t>
      </w:r>
      <w:r>
        <w:rPr>
          <w:rFonts w:hAnsi="Times New Roman"/>
        </w:rPr>
        <w:t>–</w:t>
      </w:r>
      <w:r>
        <w:rPr>
          <w:rFonts w:hAnsi="Times New Roman"/>
        </w:rPr>
        <w:t xml:space="preserve"> </w:t>
      </w:r>
      <w:r>
        <w:rPr>
          <w:rFonts w:ascii="Times New Roman"/>
        </w:rPr>
        <w:t xml:space="preserve">combining factors to reveal interactions and overlapping effects </w:t>
      </w:r>
      <w:r>
        <w:rPr>
          <w:rFonts w:hAnsi="Times New Roman"/>
        </w:rPr>
        <w:t>—</w:t>
      </w:r>
      <w:r>
        <w:rPr>
          <w:rFonts w:ascii="Times New Roman"/>
        </w:rPr>
        <w:t xml:space="preserve"> may reveal that factors such as the five described here do not necessarily operate as independent influences on the test marks of the cohort under study.</w:t>
      </w:r>
    </w:p>
    <w:p w:rsidR="00D91F65" w:rsidRDefault="00C50C4E" w:rsidP="00AE7588">
      <w:pPr>
        <w:pStyle w:val="Body"/>
        <w:spacing w:before="100" w:after="100" w:line="360" w:lineRule="auto"/>
        <w:ind w:firstLine="720"/>
        <w:rPr>
          <w:rFonts w:ascii="Times New Roman" w:eastAsia="Times New Roman" w:hAnsi="Times New Roman" w:cs="Times New Roman"/>
        </w:rPr>
      </w:pPr>
      <w:r>
        <w:rPr>
          <w:rFonts w:ascii="Times New Roman"/>
        </w:rPr>
        <w:t>We present a complementary mixed-method exploration of influences on academic achievement as an innovation in contrast to a purely quantitative analysis of single factors. We believe that this methodology yields a richness of insight and a depth of analysis that previous studies have not revealed. We see this article as a step, in the words of Fraser and Killen (</w:t>
      </w:r>
      <w:r w:rsidR="00A13816">
        <w:rPr>
          <w:rFonts w:ascii="Times New Roman"/>
        </w:rPr>
        <w:t>2005</w:t>
      </w:r>
      <w:r w:rsidR="001637D3">
        <w:rPr>
          <w:rFonts w:ascii="Times New Roman"/>
        </w:rPr>
        <w:t>, 37</w:t>
      </w:r>
      <w:r w:rsidR="00BC45CB">
        <w:rPr>
          <w:rFonts w:ascii="Times New Roman"/>
        </w:rPr>
        <w:t>)</w:t>
      </w:r>
      <w:r>
        <w:rPr>
          <w:rFonts w:ascii="Times New Roman"/>
        </w:rPr>
        <w:t xml:space="preserve"> towards </w:t>
      </w:r>
      <w:r w:rsidR="00380A77">
        <w:rPr>
          <w:rFonts w:hAnsi="Times New Roman"/>
        </w:rPr>
        <w:t>“</w:t>
      </w:r>
      <w:r>
        <w:rPr>
          <w:rFonts w:ascii="Times New Roman"/>
        </w:rPr>
        <w:t>develop[</w:t>
      </w:r>
      <w:proofErr w:type="spellStart"/>
      <w:r>
        <w:rPr>
          <w:rFonts w:ascii="Times New Roman"/>
        </w:rPr>
        <w:t>ing</w:t>
      </w:r>
      <w:proofErr w:type="spellEnd"/>
      <w:r>
        <w:rPr>
          <w:rFonts w:ascii="Times New Roman"/>
        </w:rPr>
        <w:t>] a common understanding of the factors that contribute to students</w:t>
      </w:r>
      <w:r>
        <w:rPr>
          <w:rFonts w:hAnsi="Times New Roman"/>
        </w:rPr>
        <w:t>’</w:t>
      </w:r>
      <w:r>
        <w:rPr>
          <w:rFonts w:hAnsi="Times New Roman"/>
        </w:rPr>
        <w:t xml:space="preserve"> </w:t>
      </w:r>
      <w:r>
        <w:rPr>
          <w:rFonts w:ascii="Times New Roman"/>
        </w:rPr>
        <w:t>academic success</w:t>
      </w:r>
      <w:r w:rsidR="00380A77">
        <w:rPr>
          <w:rFonts w:hAnsi="Times New Roman"/>
        </w:rPr>
        <w:t>”</w:t>
      </w:r>
      <w:r>
        <w:rPr>
          <w:rFonts w:ascii="Times New Roman"/>
        </w:rPr>
        <w:t>.</w:t>
      </w:r>
    </w:p>
    <w:p w:rsidR="00A66303" w:rsidRDefault="00A66303" w:rsidP="00AE7588">
      <w:pPr>
        <w:pStyle w:val="Body"/>
        <w:spacing w:line="360" w:lineRule="auto"/>
        <w:rPr>
          <w:rFonts w:ascii="Times New Roman" w:eastAsia="Times New Roman" w:hAnsi="Times New Roman" w:cs="Times New Roman"/>
          <w:b/>
        </w:rPr>
      </w:pPr>
    </w:p>
    <w:p w:rsidR="00AE7588" w:rsidRDefault="00AE7588" w:rsidP="00AE7588">
      <w:pPr>
        <w:pStyle w:val="Body"/>
        <w:spacing w:line="360" w:lineRule="auto"/>
        <w:rPr>
          <w:rFonts w:ascii="Times New Roman" w:eastAsia="Times New Roman" w:hAnsi="Times New Roman" w:cs="Times New Roman"/>
          <w:b/>
        </w:rPr>
      </w:pPr>
    </w:p>
    <w:p w:rsidR="00D91F65" w:rsidRDefault="00D91F65" w:rsidP="00AE7588">
      <w:pPr>
        <w:pStyle w:val="Masterscontent"/>
        <w:rPr>
          <w:rFonts w:ascii="Times New Roman" w:eastAsia="Times New Roman" w:hAnsi="Times New Roman" w:cs="Times New Roman"/>
        </w:rPr>
      </w:pPr>
    </w:p>
    <w:p w:rsidR="002608A4" w:rsidRDefault="002608A4" w:rsidP="00AE7588">
      <w:pPr>
        <w:spacing w:line="360" w:lineRule="auto"/>
        <w:rPr>
          <w:rFonts w:eastAsia="Times New Roman"/>
          <w:color w:val="000000"/>
          <w:u w:color="000000"/>
          <w:lang w:eastAsia="en-ZA"/>
        </w:rPr>
      </w:pPr>
      <w:r>
        <w:rPr>
          <w:rFonts w:eastAsia="Times New Roman"/>
        </w:rPr>
        <w:br w:type="page"/>
      </w:r>
    </w:p>
    <w:p w:rsidR="00D91F65" w:rsidRPr="00AE7588" w:rsidRDefault="00C50C4E" w:rsidP="00AE7588">
      <w:pPr>
        <w:spacing w:line="360" w:lineRule="auto"/>
        <w:rPr>
          <w:b/>
        </w:rPr>
      </w:pPr>
      <w:bookmarkStart w:id="1" w:name="_ENREF_1"/>
      <w:r w:rsidRPr="00AE7588">
        <w:rPr>
          <w:b/>
        </w:rPr>
        <w:lastRenderedPageBreak/>
        <w:t>References</w:t>
      </w:r>
    </w:p>
    <w:p w:rsidR="00ED70D7" w:rsidRDefault="00ED70D7" w:rsidP="00AE7588">
      <w:pPr>
        <w:pStyle w:val="Body"/>
        <w:spacing w:line="360" w:lineRule="auto"/>
        <w:ind w:left="720" w:hanging="720"/>
        <w:rPr>
          <w:rFonts w:ascii="Times New Roman"/>
          <w:b/>
          <w:bCs/>
        </w:rPr>
      </w:pPr>
    </w:p>
    <w:p w:rsidR="00DB2092" w:rsidRPr="00AE7588" w:rsidRDefault="00DB2092" w:rsidP="00AE7588">
      <w:pPr>
        <w:pStyle w:val="Body"/>
        <w:spacing w:line="360" w:lineRule="auto"/>
        <w:rPr>
          <w:rFonts w:ascii="Times New Roman" w:hAnsi="Times New Roman" w:cs="Times New Roman"/>
        </w:rPr>
      </w:pPr>
      <w:r w:rsidRPr="00AE7588">
        <w:rPr>
          <w:rFonts w:ascii="Times New Roman" w:hAnsi="Times New Roman" w:cs="Times New Roman"/>
        </w:rPr>
        <w:t>Bernstein</w:t>
      </w:r>
      <w:r w:rsidR="007F3C76" w:rsidRPr="00AE7588">
        <w:rPr>
          <w:rFonts w:ascii="Times New Roman" w:hAnsi="Times New Roman" w:cs="Times New Roman"/>
        </w:rPr>
        <w:t>,</w:t>
      </w:r>
      <w:r w:rsidRPr="00AE7588">
        <w:rPr>
          <w:rFonts w:ascii="Times New Roman" w:hAnsi="Times New Roman" w:cs="Times New Roman"/>
        </w:rPr>
        <w:t xml:space="preserve"> B. </w:t>
      </w:r>
      <w:r w:rsidR="007F3C76" w:rsidRPr="00AE7588">
        <w:rPr>
          <w:rFonts w:ascii="Times New Roman" w:hAnsi="Times New Roman" w:cs="Times New Roman"/>
        </w:rPr>
        <w:t>1996. “</w:t>
      </w:r>
      <w:r w:rsidRPr="00AE7588">
        <w:rPr>
          <w:rFonts w:ascii="Times New Roman" w:hAnsi="Times New Roman" w:cs="Times New Roman"/>
        </w:rPr>
        <w:t>Discourses, knowledge structures and fields: some arbitrary considerations.</w:t>
      </w:r>
      <w:r w:rsidR="007F3C76" w:rsidRPr="00AE7588">
        <w:rPr>
          <w:rFonts w:ascii="Times New Roman" w:hAnsi="Times New Roman" w:cs="Times New Roman"/>
        </w:rPr>
        <w:t>”</w:t>
      </w:r>
      <w:r w:rsidRPr="00AE7588">
        <w:rPr>
          <w:rFonts w:ascii="Times New Roman" w:hAnsi="Times New Roman" w:cs="Times New Roman"/>
        </w:rPr>
        <w:t xml:space="preserve"> In:</w:t>
      </w:r>
      <w:r w:rsidRPr="00AE7588">
        <w:rPr>
          <w:rFonts w:ascii="Times New Roman" w:hAnsi="Times New Roman" w:cs="Times New Roman"/>
          <w:lang w:val="de-DE"/>
        </w:rPr>
        <w:t xml:space="preserve"> Bernstein</w:t>
      </w:r>
      <w:r w:rsidRPr="00AE7588">
        <w:rPr>
          <w:rFonts w:ascii="Times New Roman" w:hAnsi="Times New Roman" w:cs="Times New Roman"/>
        </w:rPr>
        <w:t xml:space="preserve"> B, editor. </w:t>
      </w:r>
      <w:r w:rsidRPr="00AE7588">
        <w:rPr>
          <w:rFonts w:ascii="Times New Roman" w:hAnsi="Times New Roman" w:cs="Times New Roman"/>
          <w:i/>
        </w:rPr>
        <w:t>Pedagogy, symbolic control and identity: theory, research, critique</w:t>
      </w:r>
      <w:r w:rsidRPr="00AE7588">
        <w:rPr>
          <w:rFonts w:ascii="Times New Roman" w:hAnsi="Times New Roman" w:cs="Times New Roman"/>
        </w:rPr>
        <w:t xml:space="preserve">. London: Taylor &amp; Francis; 169-181. </w:t>
      </w:r>
    </w:p>
    <w:p w:rsidR="001074D5" w:rsidRPr="00AE7588" w:rsidRDefault="001074D5" w:rsidP="00AE7588">
      <w:pPr>
        <w:pStyle w:val="Body"/>
        <w:spacing w:line="360" w:lineRule="auto"/>
        <w:rPr>
          <w:rFonts w:ascii="Times New Roman" w:eastAsia="Times New Roman" w:hAnsi="Times New Roman" w:cs="Times New Roman"/>
        </w:rPr>
      </w:pPr>
    </w:p>
    <w:p w:rsidR="00DB2092" w:rsidRPr="00AE7588" w:rsidRDefault="00DB2092" w:rsidP="00AE7588">
      <w:pPr>
        <w:pStyle w:val="Body"/>
        <w:spacing w:line="360" w:lineRule="auto"/>
        <w:rPr>
          <w:rFonts w:ascii="Times New Roman" w:eastAsia="Times New Roman" w:hAnsi="Times New Roman" w:cs="Times New Roman"/>
        </w:rPr>
      </w:pPr>
      <w:r w:rsidRPr="00AE7588">
        <w:rPr>
          <w:rFonts w:ascii="Times New Roman" w:hAnsi="Times New Roman" w:cs="Times New Roman"/>
        </w:rPr>
        <w:t>Bernstein</w:t>
      </w:r>
      <w:r w:rsidR="007F3C76" w:rsidRPr="00AE7588">
        <w:rPr>
          <w:rFonts w:ascii="Times New Roman" w:hAnsi="Times New Roman" w:cs="Times New Roman"/>
        </w:rPr>
        <w:t>,</w:t>
      </w:r>
      <w:r w:rsidRPr="00AE7588">
        <w:rPr>
          <w:rFonts w:ascii="Times New Roman" w:hAnsi="Times New Roman" w:cs="Times New Roman"/>
        </w:rPr>
        <w:t xml:space="preserve"> B. </w:t>
      </w:r>
      <w:r w:rsidR="007F3C76" w:rsidRPr="00AE7588">
        <w:rPr>
          <w:rFonts w:ascii="Times New Roman" w:hAnsi="Times New Roman" w:cs="Times New Roman"/>
        </w:rPr>
        <w:t>1999. “</w:t>
      </w:r>
      <w:r w:rsidRPr="00AE7588">
        <w:rPr>
          <w:rFonts w:ascii="Times New Roman" w:hAnsi="Times New Roman" w:cs="Times New Roman"/>
        </w:rPr>
        <w:t>Vertical and horizontal discourse: an essay.</w:t>
      </w:r>
      <w:r w:rsidR="007F3C76" w:rsidRPr="00AE7588">
        <w:rPr>
          <w:rFonts w:ascii="Times New Roman" w:hAnsi="Times New Roman" w:cs="Times New Roman"/>
        </w:rPr>
        <w:t>”</w:t>
      </w:r>
      <w:r w:rsidRPr="00AE7588">
        <w:rPr>
          <w:rFonts w:ascii="Times New Roman" w:hAnsi="Times New Roman" w:cs="Times New Roman"/>
        </w:rPr>
        <w:t xml:space="preserve"> </w:t>
      </w:r>
      <w:r w:rsidRPr="00AE7588">
        <w:rPr>
          <w:rFonts w:ascii="Times New Roman" w:hAnsi="Times New Roman" w:cs="Times New Roman"/>
          <w:i/>
        </w:rPr>
        <w:t>British Journal of Sociology of Education</w:t>
      </w:r>
      <w:r w:rsidR="001074D5" w:rsidRPr="00AE7588">
        <w:rPr>
          <w:rFonts w:ascii="Times New Roman" w:hAnsi="Times New Roman" w:cs="Times New Roman"/>
        </w:rPr>
        <w:t xml:space="preserve"> </w:t>
      </w:r>
      <w:r w:rsidRPr="00AE7588">
        <w:rPr>
          <w:rFonts w:ascii="Times New Roman" w:hAnsi="Times New Roman" w:cs="Times New Roman"/>
        </w:rPr>
        <w:t>20(2)</w:t>
      </w:r>
      <w:r w:rsidR="001074D5" w:rsidRPr="00AE7588">
        <w:rPr>
          <w:rFonts w:ascii="Times New Roman" w:hAnsi="Times New Roman" w:cs="Times New Roman"/>
        </w:rPr>
        <w:t>:</w:t>
      </w:r>
      <w:r w:rsidRPr="00AE7588">
        <w:rPr>
          <w:rFonts w:ascii="Times New Roman" w:hAnsi="Times New Roman" w:cs="Times New Roman"/>
        </w:rPr>
        <w:t xml:space="preserve"> 157-173.</w:t>
      </w:r>
    </w:p>
    <w:p w:rsidR="001074D5" w:rsidRPr="00AE7588" w:rsidRDefault="001074D5" w:rsidP="00AE7588">
      <w:pPr>
        <w:pStyle w:val="Body"/>
        <w:spacing w:line="360" w:lineRule="auto"/>
        <w:rPr>
          <w:rFonts w:ascii="Times New Roman" w:hAnsi="Times New Roman" w:cs="Times New Roman"/>
        </w:rPr>
      </w:pPr>
    </w:p>
    <w:p w:rsidR="00DB2092" w:rsidRPr="00AE7588" w:rsidRDefault="00DB2092" w:rsidP="00AE7588">
      <w:pPr>
        <w:pStyle w:val="Body"/>
        <w:spacing w:line="360" w:lineRule="auto"/>
        <w:rPr>
          <w:rFonts w:ascii="Times New Roman" w:eastAsia="Times New Roman" w:hAnsi="Times New Roman" w:cs="Times New Roman"/>
        </w:rPr>
      </w:pPr>
      <w:proofErr w:type="spellStart"/>
      <w:r w:rsidRPr="00AE7588">
        <w:rPr>
          <w:rFonts w:ascii="Times New Roman" w:hAnsi="Times New Roman" w:cs="Times New Roman"/>
        </w:rPr>
        <w:t>Berrey</w:t>
      </w:r>
      <w:proofErr w:type="spellEnd"/>
      <w:r w:rsidR="001074D5" w:rsidRPr="00AE7588">
        <w:rPr>
          <w:rFonts w:ascii="Times New Roman" w:hAnsi="Times New Roman" w:cs="Times New Roman"/>
        </w:rPr>
        <w:t>,</w:t>
      </w:r>
      <w:r w:rsidRPr="00AE7588">
        <w:rPr>
          <w:rFonts w:ascii="Times New Roman" w:hAnsi="Times New Roman" w:cs="Times New Roman"/>
        </w:rPr>
        <w:t xml:space="preserve"> EC. </w:t>
      </w:r>
      <w:r w:rsidR="001074D5" w:rsidRPr="00AE7588">
        <w:rPr>
          <w:rFonts w:ascii="Times New Roman" w:hAnsi="Times New Roman" w:cs="Times New Roman"/>
        </w:rPr>
        <w:t>2011. “</w:t>
      </w:r>
      <w:r w:rsidRPr="00AE7588">
        <w:rPr>
          <w:rFonts w:ascii="Times New Roman" w:hAnsi="Times New Roman" w:cs="Times New Roman"/>
        </w:rPr>
        <w:t>Why diversity became orthodox in higher education, and how it changed the meaning of race on campus.</w:t>
      </w:r>
      <w:r w:rsidR="001074D5" w:rsidRPr="00AE7588">
        <w:rPr>
          <w:rFonts w:ascii="Times New Roman" w:hAnsi="Times New Roman" w:cs="Times New Roman"/>
        </w:rPr>
        <w:t>”</w:t>
      </w:r>
      <w:r w:rsidRPr="00AE7588">
        <w:rPr>
          <w:rFonts w:ascii="Times New Roman" w:hAnsi="Times New Roman" w:cs="Times New Roman"/>
        </w:rPr>
        <w:t xml:space="preserve"> </w:t>
      </w:r>
      <w:r w:rsidRPr="00AE7588">
        <w:rPr>
          <w:rFonts w:ascii="Times New Roman" w:hAnsi="Times New Roman" w:cs="Times New Roman"/>
          <w:i/>
        </w:rPr>
        <w:t>Critical Sociology</w:t>
      </w:r>
      <w:r w:rsidR="001074D5" w:rsidRPr="00AE7588">
        <w:rPr>
          <w:rFonts w:ascii="Times New Roman" w:hAnsi="Times New Roman" w:cs="Times New Roman"/>
          <w:i/>
          <w:iCs/>
        </w:rPr>
        <w:t xml:space="preserve"> </w:t>
      </w:r>
      <w:r w:rsidRPr="00AE7588">
        <w:rPr>
          <w:rFonts w:ascii="Times New Roman" w:hAnsi="Times New Roman" w:cs="Times New Roman"/>
        </w:rPr>
        <w:t>37(5)</w:t>
      </w:r>
      <w:r w:rsidR="001074D5" w:rsidRPr="00AE7588">
        <w:rPr>
          <w:rFonts w:ascii="Times New Roman" w:hAnsi="Times New Roman" w:cs="Times New Roman"/>
        </w:rPr>
        <w:t>:</w:t>
      </w:r>
      <w:r w:rsidRPr="00AE7588">
        <w:rPr>
          <w:rFonts w:ascii="Times New Roman" w:hAnsi="Times New Roman" w:cs="Times New Roman"/>
        </w:rPr>
        <w:t xml:space="preserve"> 573-596. </w:t>
      </w:r>
    </w:p>
    <w:p w:rsidR="001074D5" w:rsidRPr="00AE7588" w:rsidRDefault="001074D5" w:rsidP="00AE7588">
      <w:pPr>
        <w:pStyle w:val="Body"/>
        <w:spacing w:line="360" w:lineRule="auto"/>
        <w:rPr>
          <w:rFonts w:ascii="Times New Roman" w:hAnsi="Times New Roman" w:cs="Times New Roman"/>
        </w:rPr>
      </w:pPr>
    </w:p>
    <w:p w:rsidR="00E76BFF" w:rsidRPr="00AE7588" w:rsidRDefault="00E76BFF" w:rsidP="00AE7588">
      <w:pPr>
        <w:pStyle w:val="Body"/>
        <w:spacing w:line="360" w:lineRule="auto"/>
        <w:rPr>
          <w:rFonts w:ascii="Times New Roman" w:eastAsia="Times New Roman" w:hAnsi="Times New Roman" w:cs="Times New Roman"/>
        </w:rPr>
      </w:pPr>
      <w:r w:rsidRPr="00AE7588">
        <w:rPr>
          <w:rFonts w:ascii="Times New Roman" w:hAnsi="Times New Roman" w:cs="Times New Roman"/>
        </w:rPr>
        <w:t>Bloch</w:t>
      </w:r>
      <w:r w:rsidR="001074D5" w:rsidRPr="00AE7588">
        <w:rPr>
          <w:rFonts w:ascii="Times New Roman" w:hAnsi="Times New Roman" w:cs="Times New Roman"/>
        </w:rPr>
        <w:t>,</w:t>
      </w:r>
      <w:r w:rsidRPr="00AE7588">
        <w:rPr>
          <w:rFonts w:ascii="Times New Roman" w:hAnsi="Times New Roman" w:cs="Times New Roman"/>
        </w:rPr>
        <w:t xml:space="preserve"> G. </w:t>
      </w:r>
      <w:r w:rsidR="001074D5" w:rsidRPr="00AE7588">
        <w:rPr>
          <w:rFonts w:ascii="Times New Roman" w:hAnsi="Times New Roman" w:cs="Times New Roman"/>
        </w:rPr>
        <w:t xml:space="preserve">2009. </w:t>
      </w:r>
      <w:r w:rsidRPr="00AE7588">
        <w:rPr>
          <w:rFonts w:ascii="Times New Roman" w:hAnsi="Times New Roman" w:cs="Times New Roman"/>
          <w:i/>
        </w:rPr>
        <w:t xml:space="preserve">The toxic mix: what's wrong with South Africa's schools and how to fix </w:t>
      </w:r>
      <w:proofErr w:type="gramStart"/>
      <w:r w:rsidRPr="00AE7588">
        <w:rPr>
          <w:rFonts w:ascii="Times New Roman" w:hAnsi="Times New Roman" w:cs="Times New Roman"/>
          <w:i/>
        </w:rPr>
        <w:t>it</w:t>
      </w:r>
      <w:r w:rsidRPr="00AE7588">
        <w:rPr>
          <w:rFonts w:ascii="Times New Roman" w:hAnsi="Times New Roman" w:cs="Times New Roman"/>
        </w:rPr>
        <w:t>.</w:t>
      </w:r>
      <w:proofErr w:type="gramEnd"/>
      <w:r w:rsidRPr="00AE7588">
        <w:rPr>
          <w:rFonts w:ascii="Times New Roman" w:hAnsi="Times New Roman" w:cs="Times New Roman"/>
        </w:rPr>
        <w:t xml:space="preserve"> Cape Town: </w:t>
      </w:r>
      <w:proofErr w:type="spellStart"/>
      <w:r w:rsidRPr="00AE7588">
        <w:rPr>
          <w:rFonts w:ascii="Times New Roman" w:hAnsi="Times New Roman" w:cs="Times New Roman"/>
        </w:rPr>
        <w:t>Tafelberg</w:t>
      </w:r>
      <w:proofErr w:type="spellEnd"/>
      <w:r w:rsidR="001074D5" w:rsidRPr="00AE7588">
        <w:rPr>
          <w:rFonts w:ascii="Times New Roman" w:hAnsi="Times New Roman" w:cs="Times New Roman"/>
        </w:rPr>
        <w:t>.</w:t>
      </w:r>
    </w:p>
    <w:p w:rsidR="001074D5" w:rsidRPr="00AE7588" w:rsidRDefault="001074D5" w:rsidP="00AE7588">
      <w:pPr>
        <w:pStyle w:val="Body"/>
        <w:spacing w:line="360" w:lineRule="auto"/>
        <w:rPr>
          <w:rFonts w:ascii="Times New Roman" w:hAnsi="Times New Roman" w:cs="Times New Roman"/>
        </w:rPr>
      </w:pPr>
    </w:p>
    <w:p w:rsidR="00E76BFF" w:rsidRPr="00AE7588" w:rsidRDefault="00E76BFF" w:rsidP="00AE7588">
      <w:pPr>
        <w:pStyle w:val="Body"/>
        <w:spacing w:line="360" w:lineRule="auto"/>
        <w:rPr>
          <w:rFonts w:ascii="Times New Roman" w:eastAsia="Times New Roman" w:hAnsi="Times New Roman" w:cs="Times New Roman"/>
        </w:rPr>
      </w:pPr>
      <w:proofErr w:type="spellStart"/>
      <w:r w:rsidRPr="00AE7588">
        <w:rPr>
          <w:rFonts w:ascii="Times New Roman" w:hAnsi="Times New Roman" w:cs="Times New Roman"/>
        </w:rPr>
        <w:t>Breier</w:t>
      </w:r>
      <w:proofErr w:type="spellEnd"/>
      <w:r w:rsidRPr="00AE7588">
        <w:rPr>
          <w:rFonts w:ascii="Times New Roman" w:hAnsi="Times New Roman" w:cs="Times New Roman"/>
        </w:rPr>
        <w:t xml:space="preserve"> M, &amp; </w:t>
      </w:r>
      <w:proofErr w:type="spellStart"/>
      <w:r w:rsidRPr="00AE7588">
        <w:rPr>
          <w:rFonts w:ascii="Times New Roman" w:hAnsi="Times New Roman" w:cs="Times New Roman"/>
        </w:rPr>
        <w:t>Wildschut</w:t>
      </w:r>
      <w:proofErr w:type="spellEnd"/>
      <w:r w:rsidR="001074D5" w:rsidRPr="00AE7588">
        <w:rPr>
          <w:rFonts w:ascii="Times New Roman" w:hAnsi="Times New Roman" w:cs="Times New Roman"/>
        </w:rPr>
        <w:t>,</w:t>
      </w:r>
      <w:r w:rsidRPr="00AE7588">
        <w:rPr>
          <w:rFonts w:ascii="Times New Roman" w:hAnsi="Times New Roman" w:cs="Times New Roman"/>
        </w:rPr>
        <w:t xml:space="preserve"> A. </w:t>
      </w:r>
      <w:r w:rsidR="001074D5" w:rsidRPr="00AE7588">
        <w:rPr>
          <w:rFonts w:ascii="Times New Roman" w:hAnsi="Times New Roman" w:cs="Times New Roman"/>
        </w:rPr>
        <w:t xml:space="preserve">2006. </w:t>
      </w:r>
      <w:r w:rsidRPr="00AE7588">
        <w:rPr>
          <w:rFonts w:ascii="Times New Roman" w:hAnsi="Times New Roman" w:cs="Times New Roman"/>
          <w:i/>
        </w:rPr>
        <w:t>Doctors in a divided society: The profession and education of medical practitioners in South Africa</w:t>
      </w:r>
      <w:r w:rsidRPr="00AE7588">
        <w:rPr>
          <w:rFonts w:ascii="Times New Roman" w:hAnsi="Times New Roman" w:cs="Times New Roman"/>
        </w:rPr>
        <w:t xml:space="preserve">. Cape Town: HSRC Press. </w:t>
      </w:r>
    </w:p>
    <w:p w:rsidR="001074D5" w:rsidRPr="00AE7588" w:rsidRDefault="001074D5" w:rsidP="00AE7588">
      <w:pPr>
        <w:pStyle w:val="Body"/>
        <w:spacing w:line="360" w:lineRule="auto"/>
        <w:rPr>
          <w:rFonts w:ascii="Times New Roman" w:hAnsi="Times New Roman" w:cs="Times New Roman"/>
          <w:lang w:val="de-DE"/>
        </w:rPr>
      </w:pPr>
    </w:p>
    <w:p w:rsidR="00E76BFF" w:rsidRPr="00AE7588" w:rsidRDefault="00E76BFF" w:rsidP="00AE7588">
      <w:pPr>
        <w:pStyle w:val="Body"/>
        <w:spacing w:line="360" w:lineRule="auto"/>
        <w:rPr>
          <w:rFonts w:ascii="Times New Roman" w:hAnsi="Times New Roman" w:cs="Times New Roman"/>
        </w:rPr>
      </w:pPr>
      <w:r w:rsidRPr="00AE7588">
        <w:rPr>
          <w:rFonts w:ascii="Times New Roman" w:hAnsi="Times New Roman" w:cs="Times New Roman"/>
          <w:lang w:val="de-DE"/>
        </w:rPr>
        <w:t>Christie</w:t>
      </w:r>
      <w:r w:rsidR="001074D5" w:rsidRPr="00AE7588">
        <w:rPr>
          <w:rFonts w:ascii="Times New Roman" w:hAnsi="Times New Roman" w:cs="Times New Roman"/>
          <w:lang w:val="de-DE"/>
        </w:rPr>
        <w:t>,</w:t>
      </w:r>
      <w:r w:rsidRPr="00AE7588">
        <w:rPr>
          <w:rFonts w:ascii="Times New Roman" w:hAnsi="Times New Roman" w:cs="Times New Roman"/>
          <w:lang w:val="de-DE"/>
        </w:rPr>
        <w:t xml:space="preserve"> P</w:t>
      </w:r>
      <w:r w:rsidRPr="00AE7588">
        <w:rPr>
          <w:rFonts w:ascii="Times New Roman" w:hAnsi="Times New Roman" w:cs="Times New Roman"/>
        </w:rPr>
        <w:t>, Butler</w:t>
      </w:r>
      <w:r w:rsidR="001074D5" w:rsidRPr="00AE7588">
        <w:rPr>
          <w:rFonts w:ascii="Times New Roman" w:hAnsi="Times New Roman" w:cs="Times New Roman"/>
        </w:rPr>
        <w:t>,</w:t>
      </w:r>
      <w:r w:rsidRPr="00AE7588">
        <w:rPr>
          <w:rFonts w:ascii="Times New Roman" w:hAnsi="Times New Roman" w:cs="Times New Roman"/>
        </w:rPr>
        <w:t xml:space="preserve"> D &amp; </w:t>
      </w:r>
      <w:proofErr w:type="spellStart"/>
      <w:r w:rsidRPr="00AE7588">
        <w:rPr>
          <w:rFonts w:ascii="Times New Roman" w:hAnsi="Times New Roman" w:cs="Times New Roman"/>
        </w:rPr>
        <w:t>Potterton</w:t>
      </w:r>
      <w:proofErr w:type="spellEnd"/>
      <w:r w:rsidR="001074D5" w:rsidRPr="00AE7588">
        <w:rPr>
          <w:rFonts w:ascii="Times New Roman" w:hAnsi="Times New Roman" w:cs="Times New Roman"/>
        </w:rPr>
        <w:t>,</w:t>
      </w:r>
      <w:r w:rsidRPr="00AE7588">
        <w:rPr>
          <w:rFonts w:ascii="Times New Roman" w:hAnsi="Times New Roman" w:cs="Times New Roman"/>
        </w:rPr>
        <w:t xml:space="preserve"> M. </w:t>
      </w:r>
      <w:r w:rsidR="001074D5" w:rsidRPr="00AE7588">
        <w:rPr>
          <w:rFonts w:ascii="Times New Roman" w:hAnsi="Times New Roman" w:cs="Times New Roman"/>
        </w:rPr>
        <w:t xml:space="preserve">2007. </w:t>
      </w:r>
      <w:r w:rsidRPr="00AE7588">
        <w:rPr>
          <w:rFonts w:ascii="Times New Roman" w:hAnsi="Times New Roman" w:cs="Times New Roman"/>
          <w:i/>
          <w:iCs/>
        </w:rPr>
        <w:t>Schools that work</w:t>
      </w:r>
      <w:r w:rsidRPr="00AE7588">
        <w:rPr>
          <w:rFonts w:ascii="Times New Roman" w:hAnsi="Times New Roman" w:cs="Times New Roman"/>
        </w:rPr>
        <w:t xml:space="preserve">. </w:t>
      </w:r>
      <w:r w:rsidR="001074D5" w:rsidRPr="00AE7588">
        <w:rPr>
          <w:rFonts w:ascii="Times New Roman" w:hAnsi="Times New Roman" w:cs="Times New Roman"/>
        </w:rPr>
        <w:t xml:space="preserve">Pretoria: </w:t>
      </w:r>
      <w:r w:rsidRPr="00AE7588">
        <w:rPr>
          <w:rFonts w:ascii="Times New Roman" w:hAnsi="Times New Roman" w:cs="Times New Roman"/>
        </w:rPr>
        <w:t>Ministry of Education report</w:t>
      </w:r>
      <w:r w:rsidR="001074D5" w:rsidRPr="00AE7588">
        <w:rPr>
          <w:rFonts w:ascii="Times New Roman" w:hAnsi="Times New Roman" w:cs="Times New Roman"/>
        </w:rPr>
        <w:t xml:space="preserve">. </w:t>
      </w:r>
      <w:r w:rsidRPr="00AE7588">
        <w:rPr>
          <w:rFonts w:ascii="Times New Roman" w:hAnsi="Times New Roman" w:cs="Times New Roman"/>
        </w:rPr>
        <w:t xml:space="preserve"> </w:t>
      </w:r>
    </w:p>
    <w:p w:rsidR="001074D5" w:rsidRPr="00AE7588" w:rsidRDefault="001074D5" w:rsidP="00AE7588">
      <w:pPr>
        <w:pStyle w:val="Body"/>
        <w:spacing w:line="360" w:lineRule="auto"/>
        <w:rPr>
          <w:rFonts w:ascii="Times New Roman" w:eastAsia="Times New Roman" w:hAnsi="Times New Roman" w:cs="Times New Roman"/>
        </w:rPr>
      </w:pPr>
    </w:p>
    <w:p w:rsidR="00DB2092" w:rsidRPr="00AE7588" w:rsidRDefault="00DB2092" w:rsidP="00AE7588">
      <w:pPr>
        <w:pStyle w:val="Body"/>
        <w:spacing w:line="360" w:lineRule="auto"/>
        <w:rPr>
          <w:rFonts w:ascii="Times New Roman" w:hAnsi="Times New Roman" w:cs="Times New Roman"/>
        </w:rPr>
      </w:pPr>
      <w:r w:rsidRPr="00AE7588">
        <w:rPr>
          <w:rFonts w:ascii="Times New Roman" w:hAnsi="Times New Roman" w:cs="Times New Roman"/>
        </w:rPr>
        <w:t>Coleman</w:t>
      </w:r>
      <w:r w:rsidR="001074D5" w:rsidRPr="00AE7588">
        <w:rPr>
          <w:rFonts w:ascii="Times New Roman" w:hAnsi="Times New Roman" w:cs="Times New Roman"/>
        </w:rPr>
        <w:t>,</w:t>
      </w:r>
      <w:r w:rsidRPr="00AE7588">
        <w:rPr>
          <w:rFonts w:ascii="Times New Roman" w:hAnsi="Times New Roman" w:cs="Times New Roman"/>
        </w:rPr>
        <w:t xml:space="preserve"> JS. </w:t>
      </w:r>
      <w:r w:rsidR="001074D5" w:rsidRPr="00AE7588">
        <w:rPr>
          <w:rFonts w:ascii="Times New Roman" w:hAnsi="Times New Roman" w:cs="Times New Roman"/>
        </w:rPr>
        <w:t xml:space="preserve">1966. </w:t>
      </w:r>
      <w:r w:rsidRPr="00AE7588">
        <w:rPr>
          <w:rFonts w:ascii="Times New Roman" w:hAnsi="Times New Roman" w:cs="Times New Roman"/>
          <w:i/>
        </w:rPr>
        <w:t>Equality of educational opportunity</w:t>
      </w:r>
      <w:r w:rsidRPr="00AE7588">
        <w:rPr>
          <w:rFonts w:ascii="Times New Roman" w:hAnsi="Times New Roman" w:cs="Times New Roman"/>
        </w:rPr>
        <w:t>. Washington: U.S. Department of Health, Education, and Welfare</w:t>
      </w:r>
      <w:r w:rsidR="001074D5" w:rsidRPr="00AE7588">
        <w:rPr>
          <w:rFonts w:ascii="Times New Roman" w:hAnsi="Times New Roman" w:cs="Times New Roman"/>
        </w:rPr>
        <w:t>.</w:t>
      </w:r>
      <w:r w:rsidRPr="00AE7588">
        <w:rPr>
          <w:rFonts w:ascii="Times New Roman" w:hAnsi="Times New Roman" w:cs="Times New Roman"/>
        </w:rPr>
        <w:t xml:space="preserve"> </w:t>
      </w:r>
    </w:p>
    <w:p w:rsidR="001074D5" w:rsidRPr="00AE7588" w:rsidRDefault="001074D5" w:rsidP="00AE7588">
      <w:pPr>
        <w:pStyle w:val="Body"/>
        <w:spacing w:line="360" w:lineRule="auto"/>
        <w:rPr>
          <w:rFonts w:ascii="Times New Roman" w:eastAsia="Times New Roman" w:hAnsi="Times New Roman" w:cs="Times New Roman"/>
        </w:rPr>
      </w:pPr>
    </w:p>
    <w:p w:rsidR="001074D5" w:rsidRPr="00AE7588" w:rsidRDefault="00DB2092" w:rsidP="00AE7588">
      <w:pPr>
        <w:pStyle w:val="Body"/>
        <w:spacing w:line="360" w:lineRule="auto"/>
        <w:rPr>
          <w:rFonts w:ascii="Times New Roman" w:hAnsi="Times New Roman" w:cs="Times New Roman"/>
        </w:rPr>
      </w:pPr>
      <w:r w:rsidRPr="00AE7588">
        <w:rPr>
          <w:rFonts w:ascii="Times New Roman" w:hAnsi="Times New Roman" w:cs="Times New Roman"/>
        </w:rPr>
        <w:t>Cross</w:t>
      </w:r>
      <w:r w:rsidR="001074D5" w:rsidRPr="00AE7588">
        <w:rPr>
          <w:rFonts w:ascii="Times New Roman" w:hAnsi="Times New Roman" w:cs="Times New Roman"/>
        </w:rPr>
        <w:t>,</w:t>
      </w:r>
      <w:r w:rsidRPr="00AE7588">
        <w:rPr>
          <w:rFonts w:ascii="Times New Roman" w:hAnsi="Times New Roman" w:cs="Times New Roman"/>
        </w:rPr>
        <w:t xml:space="preserve"> M. </w:t>
      </w:r>
      <w:r w:rsidR="001074D5" w:rsidRPr="00AE7588">
        <w:rPr>
          <w:rFonts w:ascii="Times New Roman" w:hAnsi="Times New Roman" w:cs="Times New Roman"/>
        </w:rPr>
        <w:t>2004. “</w:t>
      </w:r>
      <w:proofErr w:type="spellStart"/>
      <w:r w:rsidRPr="00AE7588">
        <w:rPr>
          <w:rFonts w:ascii="Times New Roman" w:hAnsi="Times New Roman" w:cs="Times New Roman"/>
        </w:rPr>
        <w:t>Institutionalising</w:t>
      </w:r>
      <w:proofErr w:type="spellEnd"/>
      <w:r w:rsidRPr="00AE7588">
        <w:rPr>
          <w:rFonts w:ascii="Times New Roman" w:hAnsi="Times New Roman" w:cs="Times New Roman"/>
        </w:rPr>
        <w:t xml:space="preserve"> campus diversity in South African higher education: Review of diversity scholarship and diversity education.</w:t>
      </w:r>
      <w:r w:rsidR="001074D5" w:rsidRPr="00AE7588">
        <w:rPr>
          <w:rFonts w:ascii="Times New Roman" w:hAnsi="Times New Roman" w:cs="Times New Roman"/>
        </w:rPr>
        <w:t>”</w:t>
      </w:r>
      <w:r w:rsidRPr="00AE7588">
        <w:rPr>
          <w:rFonts w:ascii="Times New Roman" w:hAnsi="Times New Roman" w:cs="Times New Roman"/>
        </w:rPr>
        <w:t xml:space="preserve"> </w:t>
      </w:r>
      <w:r w:rsidRPr="00AE7588">
        <w:rPr>
          <w:rFonts w:ascii="Times New Roman" w:hAnsi="Times New Roman" w:cs="Times New Roman"/>
          <w:i/>
        </w:rPr>
        <w:t>Higher Education</w:t>
      </w:r>
      <w:r w:rsidR="001074D5" w:rsidRPr="00AE7588">
        <w:rPr>
          <w:rFonts w:ascii="Times New Roman" w:hAnsi="Times New Roman" w:cs="Times New Roman"/>
          <w:i/>
        </w:rPr>
        <w:t xml:space="preserve"> </w:t>
      </w:r>
      <w:r w:rsidRPr="00AE7588">
        <w:rPr>
          <w:rFonts w:ascii="Times New Roman" w:hAnsi="Times New Roman" w:cs="Times New Roman"/>
        </w:rPr>
        <w:t>47</w:t>
      </w:r>
      <w:r w:rsidR="001074D5" w:rsidRPr="00AE7588">
        <w:rPr>
          <w:rFonts w:ascii="Times New Roman" w:hAnsi="Times New Roman" w:cs="Times New Roman"/>
        </w:rPr>
        <w:t>:</w:t>
      </w:r>
      <w:r w:rsidRPr="00AE7588">
        <w:rPr>
          <w:rFonts w:ascii="Times New Roman" w:hAnsi="Times New Roman" w:cs="Times New Roman"/>
        </w:rPr>
        <w:t xml:space="preserve"> 387-410.</w:t>
      </w:r>
    </w:p>
    <w:p w:rsidR="00DB2092" w:rsidRPr="00AE7588" w:rsidRDefault="00DB2092" w:rsidP="00AE7588">
      <w:pPr>
        <w:pStyle w:val="Body"/>
        <w:spacing w:line="360" w:lineRule="auto"/>
        <w:rPr>
          <w:rFonts w:ascii="Times New Roman" w:eastAsia="Times New Roman" w:hAnsi="Times New Roman" w:cs="Times New Roman"/>
        </w:rPr>
      </w:pPr>
      <w:r w:rsidRPr="00AE7588">
        <w:rPr>
          <w:rFonts w:ascii="Times New Roman" w:hAnsi="Times New Roman" w:cs="Times New Roman"/>
        </w:rPr>
        <w:t xml:space="preserve"> </w:t>
      </w:r>
    </w:p>
    <w:p w:rsidR="00DB2092" w:rsidRPr="00AE7588" w:rsidRDefault="00DB2092" w:rsidP="00AE7588">
      <w:pPr>
        <w:pStyle w:val="Body"/>
        <w:spacing w:line="360" w:lineRule="auto"/>
        <w:rPr>
          <w:rFonts w:ascii="Times New Roman" w:hAnsi="Times New Roman" w:cs="Times New Roman"/>
        </w:rPr>
      </w:pPr>
      <w:r w:rsidRPr="00AE7588">
        <w:rPr>
          <w:rFonts w:ascii="Times New Roman" w:hAnsi="Times New Roman" w:cs="Times New Roman"/>
        </w:rPr>
        <w:t>David</w:t>
      </w:r>
      <w:r w:rsidR="008166B0" w:rsidRPr="00AE7588">
        <w:rPr>
          <w:rFonts w:ascii="Times New Roman" w:hAnsi="Times New Roman" w:cs="Times New Roman"/>
        </w:rPr>
        <w:t>,</w:t>
      </w:r>
      <w:r w:rsidRPr="00AE7588">
        <w:rPr>
          <w:rFonts w:ascii="Times New Roman" w:hAnsi="Times New Roman" w:cs="Times New Roman"/>
        </w:rPr>
        <w:t xml:space="preserve"> M. </w:t>
      </w:r>
      <w:r w:rsidR="008166B0" w:rsidRPr="00AE7588">
        <w:rPr>
          <w:rFonts w:ascii="Times New Roman" w:hAnsi="Times New Roman" w:cs="Times New Roman"/>
        </w:rPr>
        <w:t>2007. “</w:t>
      </w:r>
      <w:r w:rsidRPr="00AE7588">
        <w:rPr>
          <w:rFonts w:ascii="Times New Roman" w:hAnsi="Times New Roman" w:cs="Times New Roman"/>
        </w:rPr>
        <w:t>Equity and diversity: towards a sociology of higher education for the twenty-first century?</w:t>
      </w:r>
      <w:r w:rsidR="008166B0" w:rsidRPr="00AE7588">
        <w:rPr>
          <w:rFonts w:ascii="Times New Roman" w:hAnsi="Times New Roman" w:cs="Times New Roman"/>
        </w:rPr>
        <w:t>”</w:t>
      </w:r>
      <w:r w:rsidRPr="00AE7588">
        <w:rPr>
          <w:rFonts w:ascii="Times New Roman" w:hAnsi="Times New Roman" w:cs="Times New Roman"/>
        </w:rPr>
        <w:t xml:space="preserve"> </w:t>
      </w:r>
      <w:r w:rsidRPr="00AE7588">
        <w:rPr>
          <w:rFonts w:ascii="Times New Roman" w:hAnsi="Times New Roman" w:cs="Times New Roman"/>
          <w:i/>
        </w:rPr>
        <w:t>British Journal of Sociology of Education</w:t>
      </w:r>
      <w:r w:rsidR="008166B0" w:rsidRPr="00AE7588">
        <w:rPr>
          <w:rFonts w:ascii="Times New Roman" w:hAnsi="Times New Roman" w:cs="Times New Roman"/>
          <w:i/>
          <w:iCs/>
        </w:rPr>
        <w:t xml:space="preserve">. </w:t>
      </w:r>
      <w:r w:rsidRPr="00AE7588">
        <w:rPr>
          <w:rFonts w:ascii="Times New Roman" w:hAnsi="Times New Roman" w:cs="Times New Roman"/>
        </w:rPr>
        <w:t>28(5)</w:t>
      </w:r>
      <w:r w:rsidR="008166B0" w:rsidRPr="00AE7588">
        <w:rPr>
          <w:rFonts w:ascii="Times New Roman" w:hAnsi="Times New Roman" w:cs="Times New Roman"/>
        </w:rPr>
        <w:t>:</w:t>
      </w:r>
      <w:r w:rsidRPr="00AE7588">
        <w:rPr>
          <w:rFonts w:ascii="Times New Roman" w:hAnsi="Times New Roman" w:cs="Times New Roman"/>
        </w:rPr>
        <w:t xml:space="preserve"> 675-690. </w:t>
      </w:r>
    </w:p>
    <w:p w:rsidR="008166B0" w:rsidRPr="00AE7588" w:rsidRDefault="008166B0" w:rsidP="00AE7588">
      <w:pPr>
        <w:pStyle w:val="Body"/>
        <w:spacing w:line="360" w:lineRule="auto"/>
        <w:rPr>
          <w:rFonts w:ascii="Times New Roman" w:eastAsia="Times New Roman" w:hAnsi="Times New Roman" w:cs="Times New Roman"/>
        </w:rPr>
      </w:pPr>
    </w:p>
    <w:p w:rsidR="00514E7F" w:rsidRPr="00AE7588" w:rsidRDefault="00514E7F" w:rsidP="00AE7588">
      <w:pPr>
        <w:pStyle w:val="Body"/>
        <w:spacing w:line="360" w:lineRule="auto"/>
        <w:rPr>
          <w:rFonts w:ascii="Times New Roman" w:hAnsi="Times New Roman" w:cs="Times New Roman"/>
        </w:rPr>
      </w:pPr>
      <w:r w:rsidRPr="00AE7588">
        <w:rPr>
          <w:rFonts w:ascii="Times New Roman" w:hAnsi="Times New Roman" w:cs="Times New Roman"/>
        </w:rPr>
        <w:t>Ferguson</w:t>
      </w:r>
      <w:r w:rsidR="008166B0" w:rsidRPr="00AE7588">
        <w:rPr>
          <w:rFonts w:ascii="Times New Roman" w:hAnsi="Times New Roman" w:cs="Times New Roman"/>
        </w:rPr>
        <w:t>,</w:t>
      </w:r>
      <w:r w:rsidRPr="00AE7588">
        <w:rPr>
          <w:rFonts w:ascii="Times New Roman" w:hAnsi="Times New Roman" w:cs="Times New Roman"/>
        </w:rPr>
        <w:t xml:space="preserve"> E, James</w:t>
      </w:r>
      <w:r w:rsidR="008166B0" w:rsidRPr="00AE7588">
        <w:rPr>
          <w:rFonts w:ascii="Times New Roman" w:hAnsi="Times New Roman" w:cs="Times New Roman"/>
        </w:rPr>
        <w:t>,</w:t>
      </w:r>
      <w:r w:rsidRPr="00AE7588">
        <w:rPr>
          <w:rFonts w:ascii="Times New Roman" w:hAnsi="Times New Roman" w:cs="Times New Roman"/>
        </w:rPr>
        <w:t xml:space="preserve"> D &amp; </w:t>
      </w:r>
      <w:proofErr w:type="spellStart"/>
      <w:r w:rsidRPr="00AE7588">
        <w:rPr>
          <w:rFonts w:ascii="Times New Roman" w:hAnsi="Times New Roman" w:cs="Times New Roman"/>
        </w:rPr>
        <w:t>Madeley</w:t>
      </w:r>
      <w:proofErr w:type="spellEnd"/>
      <w:r w:rsidR="008166B0" w:rsidRPr="00AE7588">
        <w:rPr>
          <w:rFonts w:ascii="Times New Roman" w:hAnsi="Times New Roman" w:cs="Times New Roman"/>
        </w:rPr>
        <w:t>,</w:t>
      </w:r>
      <w:r w:rsidRPr="00AE7588">
        <w:rPr>
          <w:rFonts w:ascii="Times New Roman" w:hAnsi="Times New Roman" w:cs="Times New Roman"/>
        </w:rPr>
        <w:t xml:space="preserve"> L. </w:t>
      </w:r>
      <w:r w:rsidR="008166B0" w:rsidRPr="00AE7588">
        <w:rPr>
          <w:rFonts w:ascii="Times New Roman" w:hAnsi="Times New Roman" w:cs="Times New Roman"/>
        </w:rPr>
        <w:t>2002. “</w:t>
      </w:r>
      <w:r w:rsidRPr="00AE7588">
        <w:rPr>
          <w:rFonts w:ascii="Times New Roman" w:hAnsi="Times New Roman" w:cs="Times New Roman"/>
        </w:rPr>
        <w:t>Factors associated with success in medical school: systematic review of the literature.</w:t>
      </w:r>
      <w:r w:rsidR="008166B0" w:rsidRPr="00AE7588">
        <w:rPr>
          <w:rFonts w:ascii="Times New Roman" w:hAnsi="Times New Roman" w:cs="Times New Roman"/>
        </w:rPr>
        <w:t>”</w:t>
      </w:r>
      <w:r w:rsidRPr="00AE7588">
        <w:rPr>
          <w:rFonts w:ascii="Times New Roman" w:hAnsi="Times New Roman" w:cs="Times New Roman"/>
        </w:rPr>
        <w:t xml:space="preserve"> </w:t>
      </w:r>
      <w:r w:rsidRPr="00AE7588">
        <w:rPr>
          <w:rFonts w:ascii="Times New Roman" w:hAnsi="Times New Roman" w:cs="Times New Roman"/>
          <w:i/>
        </w:rPr>
        <w:t>British Medical Journal</w:t>
      </w:r>
      <w:r w:rsidR="008166B0" w:rsidRPr="00AE7588">
        <w:rPr>
          <w:rFonts w:ascii="Times New Roman" w:hAnsi="Times New Roman" w:cs="Times New Roman"/>
        </w:rPr>
        <w:t xml:space="preserve">. </w:t>
      </w:r>
      <w:r w:rsidRPr="00AE7588">
        <w:rPr>
          <w:rFonts w:ascii="Times New Roman" w:hAnsi="Times New Roman" w:cs="Times New Roman"/>
        </w:rPr>
        <w:t>324</w:t>
      </w:r>
      <w:r w:rsidR="008166B0" w:rsidRPr="00AE7588">
        <w:rPr>
          <w:rFonts w:ascii="Times New Roman" w:hAnsi="Times New Roman" w:cs="Times New Roman"/>
        </w:rPr>
        <w:t>:</w:t>
      </w:r>
      <w:r w:rsidRPr="00AE7588">
        <w:rPr>
          <w:rFonts w:ascii="Times New Roman" w:hAnsi="Times New Roman" w:cs="Times New Roman"/>
        </w:rPr>
        <w:t xml:space="preserve"> 952-957. </w:t>
      </w:r>
    </w:p>
    <w:p w:rsidR="008166B0" w:rsidRPr="00AE7588" w:rsidRDefault="008166B0" w:rsidP="00AE7588">
      <w:pPr>
        <w:pStyle w:val="Body"/>
        <w:spacing w:line="360" w:lineRule="auto"/>
        <w:rPr>
          <w:rFonts w:ascii="Times New Roman" w:eastAsia="Times New Roman" w:hAnsi="Times New Roman" w:cs="Times New Roman"/>
        </w:rPr>
      </w:pPr>
    </w:p>
    <w:p w:rsidR="00DB2092" w:rsidRPr="00AE7588" w:rsidRDefault="00DB2092" w:rsidP="00AE7588">
      <w:pPr>
        <w:pStyle w:val="Body"/>
        <w:spacing w:line="360" w:lineRule="auto"/>
        <w:rPr>
          <w:rFonts w:ascii="Times New Roman" w:hAnsi="Times New Roman" w:cs="Times New Roman"/>
        </w:rPr>
      </w:pPr>
      <w:r w:rsidRPr="00AE7588">
        <w:rPr>
          <w:rFonts w:ascii="Times New Roman" w:hAnsi="Times New Roman" w:cs="Times New Roman"/>
        </w:rPr>
        <w:t>Field</w:t>
      </w:r>
      <w:r w:rsidR="008166B0" w:rsidRPr="00AE7588">
        <w:rPr>
          <w:rFonts w:ascii="Times New Roman" w:hAnsi="Times New Roman" w:cs="Times New Roman"/>
        </w:rPr>
        <w:t>,</w:t>
      </w:r>
      <w:r w:rsidRPr="00AE7588">
        <w:rPr>
          <w:rFonts w:ascii="Times New Roman" w:hAnsi="Times New Roman" w:cs="Times New Roman"/>
        </w:rPr>
        <w:t xml:space="preserve"> A. 2009. </w:t>
      </w:r>
      <w:r w:rsidRPr="00AE7588">
        <w:rPr>
          <w:rFonts w:ascii="Times New Roman" w:hAnsi="Times New Roman" w:cs="Times New Roman"/>
          <w:i/>
        </w:rPr>
        <w:t>Discovering statistics using SPSS</w:t>
      </w:r>
      <w:r w:rsidR="008166B0" w:rsidRPr="00AE7588">
        <w:rPr>
          <w:rFonts w:ascii="Times New Roman" w:hAnsi="Times New Roman" w:cs="Times New Roman"/>
        </w:rPr>
        <w:t>. 3rd ed. London: SAGE</w:t>
      </w:r>
      <w:r w:rsidRPr="00AE7588">
        <w:rPr>
          <w:rFonts w:ascii="Times New Roman" w:hAnsi="Times New Roman" w:cs="Times New Roman"/>
        </w:rPr>
        <w:t xml:space="preserve">. </w:t>
      </w:r>
    </w:p>
    <w:p w:rsidR="008166B0" w:rsidRPr="00AE7588" w:rsidRDefault="008166B0" w:rsidP="00AE7588">
      <w:pPr>
        <w:pStyle w:val="Body"/>
        <w:spacing w:line="360" w:lineRule="auto"/>
        <w:rPr>
          <w:rFonts w:ascii="Times New Roman" w:eastAsia="Times New Roman" w:hAnsi="Times New Roman" w:cs="Times New Roman"/>
        </w:rPr>
      </w:pPr>
    </w:p>
    <w:p w:rsidR="00056BD0" w:rsidRPr="00AE7588" w:rsidRDefault="00DB2092" w:rsidP="00AE7588">
      <w:pPr>
        <w:pStyle w:val="Body"/>
        <w:spacing w:line="360" w:lineRule="auto"/>
        <w:rPr>
          <w:rFonts w:ascii="Times New Roman" w:hAnsi="Times New Roman" w:cs="Times New Roman"/>
        </w:rPr>
      </w:pPr>
      <w:proofErr w:type="spellStart"/>
      <w:r w:rsidRPr="00AE7588">
        <w:rPr>
          <w:rFonts w:ascii="Times New Roman" w:hAnsi="Times New Roman" w:cs="Times New Roman"/>
        </w:rPr>
        <w:t>Fleisch</w:t>
      </w:r>
      <w:proofErr w:type="spellEnd"/>
      <w:r w:rsidR="008166B0" w:rsidRPr="00AE7588">
        <w:rPr>
          <w:rFonts w:ascii="Times New Roman" w:hAnsi="Times New Roman" w:cs="Times New Roman"/>
        </w:rPr>
        <w:t>,</w:t>
      </w:r>
      <w:r w:rsidRPr="00AE7588">
        <w:rPr>
          <w:rFonts w:ascii="Times New Roman" w:hAnsi="Times New Roman" w:cs="Times New Roman"/>
        </w:rPr>
        <w:t xml:space="preserve"> B. </w:t>
      </w:r>
      <w:r w:rsidR="008166B0" w:rsidRPr="00AE7588">
        <w:rPr>
          <w:rFonts w:ascii="Times New Roman" w:hAnsi="Times New Roman" w:cs="Times New Roman"/>
        </w:rPr>
        <w:t>2008. “</w:t>
      </w:r>
      <w:r w:rsidRPr="00AE7588">
        <w:rPr>
          <w:rFonts w:ascii="Times New Roman" w:hAnsi="Times New Roman" w:cs="Times New Roman"/>
        </w:rPr>
        <w:t>Primary education in crisis: why South African schoolchildren underachieve in reading and mathematics.</w:t>
      </w:r>
      <w:r w:rsidR="008166B0" w:rsidRPr="00AE7588">
        <w:rPr>
          <w:rFonts w:ascii="Times New Roman" w:hAnsi="Times New Roman" w:cs="Times New Roman"/>
        </w:rPr>
        <w:t>”</w:t>
      </w:r>
      <w:r w:rsidRPr="00AE7588">
        <w:rPr>
          <w:rFonts w:ascii="Times New Roman" w:hAnsi="Times New Roman" w:cs="Times New Roman"/>
        </w:rPr>
        <w:t xml:space="preserve"> Cape Town: </w:t>
      </w:r>
      <w:proofErr w:type="spellStart"/>
      <w:r w:rsidRPr="00AE7588">
        <w:rPr>
          <w:rFonts w:ascii="Times New Roman" w:hAnsi="Times New Roman" w:cs="Times New Roman"/>
        </w:rPr>
        <w:t>Juta</w:t>
      </w:r>
      <w:proofErr w:type="spellEnd"/>
      <w:r w:rsidR="00056BD0" w:rsidRPr="00AE7588">
        <w:rPr>
          <w:rFonts w:ascii="Times New Roman" w:hAnsi="Times New Roman" w:cs="Times New Roman"/>
        </w:rPr>
        <w:t>.</w:t>
      </w:r>
    </w:p>
    <w:p w:rsidR="00DB2092" w:rsidRPr="00AE7588" w:rsidRDefault="00DB2092" w:rsidP="00AE7588">
      <w:pPr>
        <w:pStyle w:val="Body"/>
        <w:spacing w:line="360" w:lineRule="auto"/>
        <w:rPr>
          <w:rFonts w:ascii="Times New Roman" w:eastAsia="Times New Roman" w:hAnsi="Times New Roman" w:cs="Times New Roman"/>
        </w:rPr>
      </w:pPr>
      <w:r w:rsidRPr="00AE7588">
        <w:rPr>
          <w:rFonts w:ascii="Times New Roman" w:hAnsi="Times New Roman" w:cs="Times New Roman"/>
        </w:rPr>
        <w:t xml:space="preserve"> </w:t>
      </w:r>
    </w:p>
    <w:p w:rsidR="00551CC7" w:rsidRPr="00AE7588" w:rsidRDefault="003E5160" w:rsidP="00AE7588">
      <w:pPr>
        <w:pStyle w:val="Body"/>
        <w:spacing w:line="360" w:lineRule="auto"/>
        <w:rPr>
          <w:rFonts w:ascii="Times New Roman" w:hAnsi="Times New Roman" w:cs="Times New Roman"/>
        </w:rPr>
      </w:pPr>
      <w:r w:rsidRPr="00AE7588">
        <w:rPr>
          <w:rFonts w:ascii="Times New Roman" w:hAnsi="Times New Roman" w:cs="Times New Roman"/>
        </w:rPr>
        <w:t>Fraser</w:t>
      </w:r>
      <w:r w:rsidR="00056BD0" w:rsidRPr="00AE7588">
        <w:rPr>
          <w:rFonts w:ascii="Times New Roman" w:hAnsi="Times New Roman" w:cs="Times New Roman"/>
        </w:rPr>
        <w:t>,</w:t>
      </w:r>
      <w:r w:rsidRPr="00AE7588">
        <w:rPr>
          <w:rFonts w:ascii="Times New Roman" w:hAnsi="Times New Roman" w:cs="Times New Roman"/>
        </w:rPr>
        <w:t xml:space="preserve"> W &amp; Killen</w:t>
      </w:r>
      <w:r w:rsidR="00056BD0" w:rsidRPr="00AE7588">
        <w:rPr>
          <w:rFonts w:ascii="Times New Roman" w:hAnsi="Times New Roman" w:cs="Times New Roman"/>
        </w:rPr>
        <w:t>,</w:t>
      </w:r>
      <w:r w:rsidRPr="00AE7588">
        <w:rPr>
          <w:rFonts w:ascii="Times New Roman" w:hAnsi="Times New Roman" w:cs="Times New Roman"/>
        </w:rPr>
        <w:t xml:space="preserve"> R. </w:t>
      </w:r>
      <w:r w:rsidR="00056BD0" w:rsidRPr="00AE7588">
        <w:rPr>
          <w:rFonts w:ascii="Times New Roman" w:hAnsi="Times New Roman" w:cs="Times New Roman"/>
        </w:rPr>
        <w:t>2005. “</w:t>
      </w:r>
      <w:r w:rsidRPr="00AE7588">
        <w:rPr>
          <w:rFonts w:ascii="Times New Roman" w:hAnsi="Times New Roman" w:cs="Times New Roman"/>
        </w:rPr>
        <w:t>The perceptions of students and lecturers of some factors affecting academic performance at two South African universities.</w:t>
      </w:r>
      <w:r w:rsidR="00056BD0" w:rsidRPr="00AE7588">
        <w:rPr>
          <w:rFonts w:ascii="Times New Roman" w:hAnsi="Times New Roman" w:cs="Times New Roman"/>
        </w:rPr>
        <w:t>”</w:t>
      </w:r>
      <w:r w:rsidRPr="00AE7588">
        <w:rPr>
          <w:rFonts w:ascii="Times New Roman" w:hAnsi="Times New Roman" w:cs="Times New Roman"/>
        </w:rPr>
        <w:t xml:space="preserve"> </w:t>
      </w:r>
      <w:r w:rsidRPr="00AE7588">
        <w:rPr>
          <w:rFonts w:ascii="Times New Roman" w:hAnsi="Times New Roman" w:cs="Times New Roman"/>
          <w:i/>
        </w:rPr>
        <w:t>Perspectives in Education</w:t>
      </w:r>
      <w:r w:rsidR="00056BD0" w:rsidRPr="00AE7588">
        <w:rPr>
          <w:rFonts w:ascii="Times New Roman" w:hAnsi="Times New Roman" w:cs="Times New Roman"/>
        </w:rPr>
        <w:t xml:space="preserve">. </w:t>
      </w:r>
      <w:r w:rsidRPr="00AE7588">
        <w:rPr>
          <w:rFonts w:ascii="Times New Roman" w:hAnsi="Times New Roman" w:cs="Times New Roman"/>
        </w:rPr>
        <w:t>23(1)</w:t>
      </w:r>
      <w:r w:rsidR="00056BD0" w:rsidRPr="00AE7588">
        <w:rPr>
          <w:rFonts w:ascii="Times New Roman" w:hAnsi="Times New Roman" w:cs="Times New Roman"/>
        </w:rPr>
        <w:t>:</w:t>
      </w:r>
      <w:r w:rsidRPr="00AE7588">
        <w:rPr>
          <w:rFonts w:ascii="Times New Roman" w:hAnsi="Times New Roman" w:cs="Times New Roman"/>
        </w:rPr>
        <w:t xml:space="preserve"> 25-40. </w:t>
      </w:r>
    </w:p>
    <w:p w:rsidR="00056BD0" w:rsidRPr="00AE7588" w:rsidRDefault="00056BD0" w:rsidP="00AE7588">
      <w:pPr>
        <w:pStyle w:val="Body"/>
        <w:spacing w:line="360" w:lineRule="auto"/>
        <w:rPr>
          <w:rFonts w:ascii="Times New Roman" w:eastAsia="Times New Roman" w:hAnsi="Times New Roman" w:cs="Times New Roman"/>
        </w:rPr>
      </w:pPr>
    </w:p>
    <w:p w:rsidR="00DB2092" w:rsidRPr="00AE7588" w:rsidRDefault="00DB2092" w:rsidP="00AE7588">
      <w:pPr>
        <w:pStyle w:val="Body"/>
        <w:spacing w:line="360" w:lineRule="auto"/>
        <w:rPr>
          <w:rFonts w:ascii="Times New Roman" w:hAnsi="Times New Roman" w:cs="Times New Roman"/>
        </w:rPr>
      </w:pPr>
      <w:r w:rsidRPr="00AE7588">
        <w:rPr>
          <w:rFonts w:ascii="Times New Roman" w:hAnsi="Times New Roman" w:cs="Times New Roman"/>
        </w:rPr>
        <w:t>Greene</w:t>
      </w:r>
      <w:r w:rsidR="00056BD0" w:rsidRPr="00AE7588">
        <w:rPr>
          <w:rFonts w:ascii="Times New Roman" w:hAnsi="Times New Roman" w:cs="Times New Roman"/>
        </w:rPr>
        <w:t>,</w:t>
      </w:r>
      <w:r w:rsidRPr="00AE7588">
        <w:rPr>
          <w:rFonts w:ascii="Times New Roman" w:hAnsi="Times New Roman" w:cs="Times New Roman"/>
        </w:rPr>
        <w:t xml:space="preserve"> JC, </w:t>
      </w:r>
      <w:proofErr w:type="spellStart"/>
      <w:r w:rsidRPr="00AE7588">
        <w:rPr>
          <w:rFonts w:ascii="Times New Roman" w:hAnsi="Times New Roman" w:cs="Times New Roman"/>
        </w:rPr>
        <w:t>Caracelli</w:t>
      </w:r>
      <w:proofErr w:type="spellEnd"/>
      <w:r w:rsidR="00056BD0" w:rsidRPr="00AE7588">
        <w:rPr>
          <w:rFonts w:ascii="Times New Roman" w:hAnsi="Times New Roman" w:cs="Times New Roman"/>
        </w:rPr>
        <w:t>,</w:t>
      </w:r>
      <w:r w:rsidRPr="00AE7588">
        <w:rPr>
          <w:rFonts w:ascii="Times New Roman" w:hAnsi="Times New Roman" w:cs="Times New Roman"/>
        </w:rPr>
        <w:t xml:space="preserve"> VJ &amp; Graham</w:t>
      </w:r>
      <w:r w:rsidR="00056BD0" w:rsidRPr="00AE7588">
        <w:rPr>
          <w:rFonts w:ascii="Times New Roman" w:hAnsi="Times New Roman" w:cs="Times New Roman"/>
        </w:rPr>
        <w:t>,</w:t>
      </w:r>
      <w:r w:rsidRPr="00AE7588">
        <w:rPr>
          <w:rFonts w:ascii="Times New Roman" w:hAnsi="Times New Roman" w:cs="Times New Roman"/>
        </w:rPr>
        <w:t xml:space="preserve"> WF. </w:t>
      </w:r>
      <w:r w:rsidR="00056BD0" w:rsidRPr="00AE7588">
        <w:rPr>
          <w:rFonts w:ascii="Times New Roman" w:hAnsi="Times New Roman" w:cs="Times New Roman"/>
        </w:rPr>
        <w:t>1989. “</w:t>
      </w:r>
      <w:r w:rsidRPr="00AE7588">
        <w:rPr>
          <w:rFonts w:ascii="Times New Roman" w:hAnsi="Times New Roman" w:cs="Times New Roman"/>
        </w:rPr>
        <w:t>Toward a conceptual framework for mixed-method evaluation designs.</w:t>
      </w:r>
      <w:r w:rsidR="00056BD0" w:rsidRPr="00AE7588">
        <w:rPr>
          <w:rFonts w:ascii="Times New Roman" w:hAnsi="Times New Roman" w:cs="Times New Roman"/>
        </w:rPr>
        <w:t>”</w:t>
      </w:r>
      <w:r w:rsidRPr="00AE7588">
        <w:rPr>
          <w:rFonts w:ascii="Times New Roman" w:hAnsi="Times New Roman" w:cs="Times New Roman"/>
        </w:rPr>
        <w:t xml:space="preserve"> </w:t>
      </w:r>
      <w:r w:rsidRPr="00AE7588">
        <w:rPr>
          <w:rFonts w:ascii="Times New Roman" w:hAnsi="Times New Roman" w:cs="Times New Roman"/>
          <w:i/>
        </w:rPr>
        <w:t>Educational Evaluation and Policy Analysis</w:t>
      </w:r>
      <w:r w:rsidR="00056BD0" w:rsidRPr="00AE7588">
        <w:rPr>
          <w:rFonts w:ascii="Times New Roman" w:hAnsi="Times New Roman" w:cs="Times New Roman"/>
        </w:rPr>
        <w:t xml:space="preserve">. </w:t>
      </w:r>
      <w:r w:rsidRPr="00AE7588">
        <w:rPr>
          <w:rFonts w:ascii="Times New Roman" w:hAnsi="Times New Roman" w:cs="Times New Roman"/>
        </w:rPr>
        <w:t>11(3)</w:t>
      </w:r>
      <w:r w:rsidR="00056BD0" w:rsidRPr="00AE7588">
        <w:rPr>
          <w:rFonts w:ascii="Times New Roman" w:hAnsi="Times New Roman" w:cs="Times New Roman"/>
        </w:rPr>
        <w:t>:</w:t>
      </w:r>
      <w:r w:rsidRPr="00AE7588">
        <w:rPr>
          <w:rFonts w:ascii="Times New Roman" w:hAnsi="Times New Roman" w:cs="Times New Roman"/>
        </w:rPr>
        <w:t xml:space="preserve"> 255-274. </w:t>
      </w:r>
    </w:p>
    <w:p w:rsidR="0061079E" w:rsidRPr="00AE7588" w:rsidRDefault="0061079E" w:rsidP="00AE7588">
      <w:pPr>
        <w:pStyle w:val="Body"/>
        <w:spacing w:line="360" w:lineRule="auto"/>
        <w:rPr>
          <w:rFonts w:ascii="Times New Roman" w:eastAsia="Times New Roman" w:hAnsi="Times New Roman" w:cs="Times New Roman"/>
        </w:rPr>
      </w:pPr>
    </w:p>
    <w:p w:rsidR="00DB2092" w:rsidRPr="00AE7588" w:rsidRDefault="00DB2092" w:rsidP="00AE7588">
      <w:pPr>
        <w:pStyle w:val="Body"/>
        <w:spacing w:line="360" w:lineRule="auto"/>
        <w:rPr>
          <w:rFonts w:ascii="Times New Roman" w:hAnsi="Times New Roman" w:cs="Times New Roman"/>
        </w:rPr>
      </w:pPr>
      <w:proofErr w:type="spellStart"/>
      <w:r w:rsidRPr="00AE7588">
        <w:rPr>
          <w:rFonts w:ascii="Times New Roman" w:hAnsi="Times New Roman" w:cs="Times New Roman"/>
        </w:rPr>
        <w:t>Haist</w:t>
      </w:r>
      <w:proofErr w:type="spellEnd"/>
      <w:r w:rsidR="0061079E" w:rsidRPr="00AE7588">
        <w:rPr>
          <w:rFonts w:ascii="Times New Roman" w:hAnsi="Times New Roman" w:cs="Times New Roman"/>
        </w:rPr>
        <w:t>,</w:t>
      </w:r>
      <w:r w:rsidRPr="00AE7588">
        <w:rPr>
          <w:rFonts w:ascii="Times New Roman" w:hAnsi="Times New Roman" w:cs="Times New Roman"/>
        </w:rPr>
        <w:t xml:space="preserve"> SA, Wilson</w:t>
      </w:r>
      <w:r w:rsidR="0061079E" w:rsidRPr="00AE7588">
        <w:rPr>
          <w:rFonts w:ascii="Times New Roman" w:hAnsi="Times New Roman" w:cs="Times New Roman"/>
        </w:rPr>
        <w:t>,</w:t>
      </w:r>
      <w:r w:rsidRPr="00AE7588">
        <w:rPr>
          <w:rFonts w:ascii="Times New Roman" w:hAnsi="Times New Roman" w:cs="Times New Roman"/>
        </w:rPr>
        <w:t xml:space="preserve"> JF, Elam</w:t>
      </w:r>
      <w:r w:rsidR="0061079E" w:rsidRPr="00AE7588">
        <w:rPr>
          <w:rFonts w:ascii="Times New Roman" w:hAnsi="Times New Roman" w:cs="Times New Roman"/>
        </w:rPr>
        <w:t>,</w:t>
      </w:r>
      <w:r w:rsidRPr="00AE7588">
        <w:rPr>
          <w:rFonts w:ascii="Times New Roman" w:hAnsi="Times New Roman" w:cs="Times New Roman"/>
        </w:rPr>
        <w:t xml:space="preserve"> CL, Blue</w:t>
      </w:r>
      <w:r w:rsidR="0061079E" w:rsidRPr="00AE7588">
        <w:rPr>
          <w:rFonts w:ascii="Times New Roman" w:hAnsi="Times New Roman" w:cs="Times New Roman"/>
        </w:rPr>
        <w:t>,</w:t>
      </w:r>
      <w:r w:rsidRPr="00AE7588">
        <w:rPr>
          <w:rFonts w:ascii="Times New Roman" w:hAnsi="Times New Roman" w:cs="Times New Roman"/>
        </w:rPr>
        <w:t xml:space="preserve"> AV &amp; </w:t>
      </w:r>
      <w:proofErr w:type="spellStart"/>
      <w:r w:rsidRPr="00AE7588">
        <w:rPr>
          <w:rFonts w:ascii="Times New Roman" w:hAnsi="Times New Roman" w:cs="Times New Roman"/>
        </w:rPr>
        <w:t>Fosson</w:t>
      </w:r>
      <w:proofErr w:type="spellEnd"/>
      <w:r w:rsidR="0061079E" w:rsidRPr="00AE7588">
        <w:rPr>
          <w:rFonts w:ascii="Times New Roman" w:hAnsi="Times New Roman" w:cs="Times New Roman"/>
        </w:rPr>
        <w:t>,</w:t>
      </w:r>
      <w:r w:rsidRPr="00AE7588">
        <w:rPr>
          <w:rFonts w:ascii="Times New Roman" w:hAnsi="Times New Roman" w:cs="Times New Roman"/>
        </w:rPr>
        <w:t xml:space="preserve"> SE. </w:t>
      </w:r>
      <w:r w:rsidR="0061079E" w:rsidRPr="00AE7588">
        <w:rPr>
          <w:rFonts w:ascii="Times New Roman" w:hAnsi="Times New Roman" w:cs="Times New Roman"/>
        </w:rPr>
        <w:t>2000. “</w:t>
      </w:r>
      <w:r w:rsidRPr="00AE7588">
        <w:rPr>
          <w:rFonts w:ascii="Times New Roman" w:hAnsi="Times New Roman" w:cs="Times New Roman"/>
        </w:rPr>
        <w:t>The effect of gender and age on medical school performance: an important interaction.</w:t>
      </w:r>
      <w:r w:rsidR="0061079E" w:rsidRPr="00AE7588">
        <w:rPr>
          <w:rFonts w:ascii="Times New Roman" w:hAnsi="Times New Roman" w:cs="Times New Roman"/>
        </w:rPr>
        <w:t>”</w:t>
      </w:r>
      <w:r w:rsidRPr="00AE7588">
        <w:rPr>
          <w:rFonts w:ascii="Times New Roman" w:hAnsi="Times New Roman" w:cs="Times New Roman"/>
        </w:rPr>
        <w:t xml:space="preserve"> </w:t>
      </w:r>
      <w:r w:rsidRPr="00AE7588">
        <w:rPr>
          <w:rFonts w:ascii="Times New Roman" w:hAnsi="Times New Roman" w:cs="Times New Roman"/>
          <w:i/>
          <w:iCs/>
        </w:rPr>
        <w:t>A</w:t>
      </w:r>
      <w:r w:rsidRPr="00AE7588">
        <w:rPr>
          <w:rFonts w:ascii="Times New Roman" w:hAnsi="Times New Roman" w:cs="Times New Roman"/>
          <w:i/>
        </w:rPr>
        <w:t>dvances in health science education</w:t>
      </w:r>
      <w:r w:rsidR="0061079E" w:rsidRPr="00AE7588">
        <w:rPr>
          <w:rFonts w:ascii="Times New Roman" w:hAnsi="Times New Roman" w:cs="Times New Roman"/>
        </w:rPr>
        <w:t xml:space="preserve">. </w:t>
      </w:r>
      <w:r w:rsidRPr="00AE7588">
        <w:rPr>
          <w:rFonts w:ascii="Times New Roman" w:hAnsi="Times New Roman" w:cs="Times New Roman"/>
        </w:rPr>
        <w:t>5(3)</w:t>
      </w:r>
      <w:r w:rsidR="0061079E" w:rsidRPr="00AE7588">
        <w:rPr>
          <w:rFonts w:ascii="Times New Roman" w:hAnsi="Times New Roman" w:cs="Times New Roman"/>
        </w:rPr>
        <w:t>:</w:t>
      </w:r>
      <w:r w:rsidRPr="00AE7588">
        <w:rPr>
          <w:rFonts w:ascii="Times New Roman" w:hAnsi="Times New Roman" w:cs="Times New Roman"/>
        </w:rPr>
        <w:t xml:space="preserve"> 197-205. </w:t>
      </w:r>
    </w:p>
    <w:p w:rsidR="0061079E" w:rsidRPr="00AE7588" w:rsidRDefault="0061079E" w:rsidP="00AE7588">
      <w:pPr>
        <w:pStyle w:val="Body"/>
        <w:spacing w:line="360" w:lineRule="auto"/>
        <w:rPr>
          <w:rFonts w:ascii="Times New Roman" w:eastAsia="Times New Roman" w:hAnsi="Times New Roman" w:cs="Times New Roman"/>
        </w:rPr>
      </w:pPr>
    </w:p>
    <w:p w:rsidR="00DB2092" w:rsidRPr="00AE7588" w:rsidRDefault="00DB2092" w:rsidP="00AE7588">
      <w:pPr>
        <w:pStyle w:val="Body"/>
        <w:spacing w:line="360" w:lineRule="auto"/>
        <w:rPr>
          <w:rFonts w:ascii="Times New Roman" w:hAnsi="Times New Roman" w:cs="Times New Roman"/>
        </w:rPr>
      </w:pPr>
      <w:proofErr w:type="spellStart"/>
      <w:r w:rsidRPr="00AE7588">
        <w:rPr>
          <w:rFonts w:ascii="Times New Roman" w:hAnsi="Times New Roman" w:cs="Times New Roman"/>
        </w:rPr>
        <w:t>Heugh</w:t>
      </w:r>
      <w:proofErr w:type="spellEnd"/>
      <w:r w:rsidR="0061079E" w:rsidRPr="00AE7588">
        <w:rPr>
          <w:rFonts w:ascii="Times New Roman" w:hAnsi="Times New Roman" w:cs="Times New Roman"/>
        </w:rPr>
        <w:t>,</w:t>
      </w:r>
      <w:r w:rsidRPr="00AE7588">
        <w:rPr>
          <w:rFonts w:ascii="Times New Roman" w:hAnsi="Times New Roman" w:cs="Times New Roman"/>
        </w:rPr>
        <w:t xml:space="preserve"> K. </w:t>
      </w:r>
      <w:r w:rsidR="0061079E" w:rsidRPr="00AE7588">
        <w:rPr>
          <w:rFonts w:ascii="Times New Roman" w:hAnsi="Times New Roman" w:cs="Times New Roman"/>
        </w:rPr>
        <w:t>2009. “</w:t>
      </w:r>
      <w:r w:rsidRPr="00AE7588">
        <w:rPr>
          <w:rFonts w:ascii="Times New Roman" w:hAnsi="Times New Roman" w:cs="Times New Roman"/>
        </w:rPr>
        <w:t>Contesting the monolingual practices of a bilingual to multilingual policy.</w:t>
      </w:r>
      <w:r w:rsidR="0061079E" w:rsidRPr="00AE7588">
        <w:rPr>
          <w:rFonts w:ascii="Times New Roman" w:hAnsi="Times New Roman" w:cs="Times New Roman"/>
        </w:rPr>
        <w:t>”</w:t>
      </w:r>
      <w:r w:rsidRPr="00AE7588">
        <w:rPr>
          <w:rFonts w:ascii="Times New Roman" w:hAnsi="Times New Roman" w:cs="Times New Roman"/>
        </w:rPr>
        <w:t xml:space="preserve"> </w:t>
      </w:r>
      <w:r w:rsidRPr="00AE7588">
        <w:rPr>
          <w:rFonts w:ascii="Times New Roman" w:hAnsi="Times New Roman" w:cs="Times New Roman"/>
          <w:i/>
        </w:rPr>
        <w:t>English Teaching: Practice and Critique</w:t>
      </w:r>
      <w:r w:rsidR="0061079E" w:rsidRPr="00AE7588">
        <w:rPr>
          <w:rFonts w:ascii="Times New Roman" w:hAnsi="Times New Roman" w:cs="Times New Roman"/>
        </w:rPr>
        <w:t xml:space="preserve">. </w:t>
      </w:r>
      <w:r w:rsidRPr="00AE7588">
        <w:rPr>
          <w:rFonts w:ascii="Times New Roman" w:hAnsi="Times New Roman" w:cs="Times New Roman"/>
        </w:rPr>
        <w:t>8(2)</w:t>
      </w:r>
      <w:r w:rsidR="0061079E" w:rsidRPr="00AE7588">
        <w:rPr>
          <w:rFonts w:ascii="Times New Roman" w:hAnsi="Times New Roman" w:cs="Times New Roman"/>
        </w:rPr>
        <w:t>:</w:t>
      </w:r>
      <w:r w:rsidRPr="00AE7588">
        <w:rPr>
          <w:rFonts w:ascii="Times New Roman" w:hAnsi="Times New Roman" w:cs="Times New Roman"/>
        </w:rPr>
        <w:t xml:space="preserve"> 96-113.</w:t>
      </w:r>
    </w:p>
    <w:p w:rsidR="0061079E" w:rsidRPr="00AE7588" w:rsidRDefault="0061079E" w:rsidP="00AE7588">
      <w:pPr>
        <w:pStyle w:val="Body"/>
        <w:spacing w:line="360" w:lineRule="auto"/>
        <w:rPr>
          <w:rFonts w:ascii="Times New Roman" w:eastAsia="Times New Roman" w:hAnsi="Times New Roman" w:cs="Times New Roman"/>
        </w:rPr>
      </w:pPr>
    </w:p>
    <w:p w:rsidR="00ED70D7" w:rsidRPr="00AE7588" w:rsidRDefault="00ED70D7" w:rsidP="00AE7588">
      <w:pPr>
        <w:pStyle w:val="Body"/>
        <w:spacing w:line="360" w:lineRule="auto"/>
        <w:rPr>
          <w:rFonts w:ascii="Times New Roman" w:hAnsi="Times New Roman" w:cs="Times New Roman"/>
        </w:rPr>
      </w:pPr>
      <w:proofErr w:type="spellStart"/>
      <w:r w:rsidRPr="00AE7588">
        <w:rPr>
          <w:rFonts w:ascii="Times New Roman" w:hAnsi="Times New Roman" w:cs="Times New Roman"/>
        </w:rPr>
        <w:t>Kusurkar</w:t>
      </w:r>
      <w:proofErr w:type="spellEnd"/>
      <w:r w:rsidR="009F6A08" w:rsidRPr="00AE7588">
        <w:rPr>
          <w:rFonts w:ascii="Times New Roman" w:hAnsi="Times New Roman" w:cs="Times New Roman"/>
        </w:rPr>
        <w:t>,</w:t>
      </w:r>
      <w:r w:rsidRPr="00AE7588">
        <w:rPr>
          <w:rFonts w:ascii="Times New Roman" w:hAnsi="Times New Roman" w:cs="Times New Roman"/>
        </w:rPr>
        <w:t xml:space="preserve"> R, </w:t>
      </w:r>
      <w:proofErr w:type="spellStart"/>
      <w:r w:rsidRPr="00AE7588">
        <w:rPr>
          <w:rFonts w:ascii="Times New Roman" w:hAnsi="Times New Roman" w:cs="Times New Roman"/>
        </w:rPr>
        <w:t>Kruitwagen</w:t>
      </w:r>
      <w:proofErr w:type="spellEnd"/>
      <w:r w:rsidR="009F6A08" w:rsidRPr="00AE7588">
        <w:rPr>
          <w:rFonts w:ascii="Times New Roman" w:hAnsi="Times New Roman" w:cs="Times New Roman"/>
        </w:rPr>
        <w:t>,</w:t>
      </w:r>
      <w:r w:rsidRPr="00AE7588">
        <w:rPr>
          <w:rFonts w:ascii="Times New Roman" w:hAnsi="Times New Roman" w:cs="Times New Roman"/>
        </w:rPr>
        <w:t xml:space="preserve"> C, ten Cate</w:t>
      </w:r>
      <w:r w:rsidR="009F6A08" w:rsidRPr="00AE7588">
        <w:rPr>
          <w:rFonts w:ascii="Times New Roman" w:hAnsi="Times New Roman" w:cs="Times New Roman"/>
        </w:rPr>
        <w:t>,</w:t>
      </w:r>
      <w:r w:rsidRPr="00AE7588">
        <w:rPr>
          <w:rFonts w:ascii="Times New Roman" w:hAnsi="Times New Roman" w:cs="Times New Roman"/>
        </w:rPr>
        <w:t xml:space="preserve"> O &amp; </w:t>
      </w:r>
      <w:proofErr w:type="spellStart"/>
      <w:r w:rsidRPr="00AE7588">
        <w:rPr>
          <w:rFonts w:ascii="Times New Roman" w:hAnsi="Times New Roman" w:cs="Times New Roman"/>
        </w:rPr>
        <w:t>Croiset</w:t>
      </w:r>
      <w:proofErr w:type="spellEnd"/>
      <w:r w:rsidR="009F6A08" w:rsidRPr="00AE7588">
        <w:rPr>
          <w:rFonts w:ascii="Times New Roman" w:hAnsi="Times New Roman" w:cs="Times New Roman"/>
        </w:rPr>
        <w:t>,</w:t>
      </w:r>
      <w:r w:rsidRPr="00AE7588">
        <w:rPr>
          <w:rFonts w:ascii="Times New Roman" w:hAnsi="Times New Roman" w:cs="Times New Roman"/>
        </w:rPr>
        <w:t xml:space="preserve"> G. </w:t>
      </w:r>
      <w:r w:rsidR="009F6A08" w:rsidRPr="00AE7588">
        <w:rPr>
          <w:rFonts w:ascii="Times New Roman" w:hAnsi="Times New Roman" w:cs="Times New Roman"/>
        </w:rPr>
        <w:t>2010. “</w:t>
      </w:r>
      <w:r w:rsidRPr="00AE7588">
        <w:rPr>
          <w:rFonts w:ascii="Times New Roman" w:hAnsi="Times New Roman" w:cs="Times New Roman"/>
        </w:rPr>
        <w:t>Effects of age, gender and educational background on strength of motivation for medical school.</w:t>
      </w:r>
      <w:r w:rsidR="009F6A08" w:rsidRPr="00AE7588">
        <w:rPr>
          <w:rFonts w:ascii="Times New Roman" w:hAnsi="Times New Roman" w:cs="Times New Roman"/>
        </w:rPr>
        <w:t>”</w:t>
      </w:r>
      <w:r w:rsidRPr="00AE7588">
        <w:rPr>
          <w:rFonts w:ascii="Times New Roman" w:hAnsi="Times New Roman" w:cs="Times New Roman"/>
        </w:rPr>
        <w:t xml:space="preserve"> </w:t>
      </w:r>
      <w:r w:rsidRPr="00AE7588">
        <w:rPr>
          <w:rFonts w:ascii="Times New Roman" w:hAnsi="Times New Roman" w:cs="Times New Roman"/>
          <w:i/>
        </w:rPr>
        <w:t>Advances in Health Sciences Education</w:t>
      </w:r>
      <w:r w:rsidR="009F6A08" w:rsidRPr="00AE7588">
        <w:rPr>
          <w:rFonts w:ascii="Times New Roman" w:hAnsi="Times New Roman" w:cs="Times New Roman"/>
          <w:i/>
          <w:iCs/>
        </w:rPr>
        <w:t xml:space="preserve">. </w:t>
      </w:r>
      <w:r w:rsidRPr="00AE7588">
        <w:rPr>
          <w:rFonts w:ascii="Times New Roman" w:hAnsi="Times New Roman" w:cs="Times New Roman"/>
        </w:rPr>
        <w:t>15(3)</w:t>
      </w:r>
      <w:r w:rsidR="009F6A08" w:rsidRPr="00AE7588">
        <w:rPr>
          <w:rFonts w:ascii="Times New Roman" w:hAnsi="Times New Roman" w:cs="Times New Roman"/>
        </w:rPr>
        <w:t>:</w:t>
      </w:r>
      <w:r w:rsidRPr="00AE7588">
        <w:rPr>
          <w:rFonts w:ascii="Times New Roman" w:hAnsi="Times New Roman" w:cs="Times New Roman"/>
        </w:rPr>
        <w:t xml:space="preserve"> 303-313. </w:t>
      </w:r>
    </w:p>
    <w:p w:rsidR="009F6A08" w:rsidRPr="00AE7588" w:rsidRDefault="009F6A08" w:rsidP="00AE7588">
      <w:pPr>
        <w:pStyle w:val="Body"/>
        <w:spacing w:line="360" w:lineRule="auto"/>
        <w:rPr>
          <w:rFonts w:ascii="Times New Roman" w:eastAsia="Times New Roman" w:hAnsi="Times New Roman" w:cs="Times New Roman"/>
        </w:rPr>
      </w:pPr>
    </w:p>
    <w:p w:rsidR="00DB2092" w:rsidRPr="00AE7588" w:rsidRDefault="00DB2092" w:rsidP="00AE7588">
      <w:pPr>
        <w:pStyle w:val="Body"/>
        <w:spacing w:line="360" w:lineRule="auto"/>
        <w:rPr>
          <w:rFonts w:ascii="Times New Roman" w:hAnsi="Times New Roman" w:cs="Times New Roman"/>
        </w:rPr>
      </w:pPr>
      <w:r w:rsidRPr="00AE7588">
        <w:rPr>
          <w:rFonts w:ascii="Times New Roman" w:hAnsi="Times New Roman" w:cs="Times New Roman"/>
        </w:rPr>
        <w:t>Leach</w:t>
      </w:r>
      <w:r w:rsidR="009F6A08" w:rsidRPr="00AE7588">
        <w:rPr>
          <w:rFonts w:ascii="Times New Roman" w:hAnsi="Times New Roman" w:cs="Times New Roman"/>
        </w:rPr>
        <w:t>,</w:t>
      </w:r>
      <w:r w:rsidRPr="00AE7588">
        <w:rPr>
          <w:rFonts w:ascii="Times New Roman" w:hAnsi="Times New Roman" w:cs="Times New Roman"/>
        </w:rPr>
        <w:t xml:space="preserve"> J, &amp; Moon</w:t>
      </w:r>
      <w:r w:rsidR="009F6A08" w:rsidRPr="00AE7588">
        <w:rPr>
          <w:rFonts w:ascii="Times New Roman" w:hAnsi="Times New Roman" w:cs="Times New Roman"/>
        </w:rPr>
        <w:t>,</w:t>
      </w:r>
      <w:r w:rsidRPr="00AE7588">
        <w:rPr>
          <w:rFonts w:ascii="Times New Roman" w:hAnsi="Times New Roman" w:cs="Times New Roman"/>
        </w:rPr>
        <w:t xml:space="preserve"> B. </w:t>
      </w:r>
      <w:r w:rsidR="009F6A08" w:rsidRPr="00AE7588">
        <w:rPr>
          <w:rFonts w:ascii="Times New Roman" w:hAnsi="Times New Roman" w:cs="Times New Roman"/>
        </w:rPr>
        <w:t xml:space="preserve">2008. </w:t>
      </w:r>
      <w:r w:rsidRPr="00AE7588">
        <w:rPr>
          <w:rFonts w:ascii="Times New Roman" w:hAnsi="Times New Roman" w:cs="Times New Roman"/>
          <w:i/>
        </w:rPr>
        <w:t>The power of pedagogy</w:t>
      </w:r>
      <w:r w:rsidRPr="00AE7588">
        <w:rPr>
          <w:rFonts w:ascii="Times New Roman" w:hAnsi="Times New Roman" w:cs="Times New Roman"/>
        </w:rPr>
        <w:t>. London: SAGE</w:t>
      </w:r>
      <w:r w:rsidR="009F6A08" w:rsidRPr="00AE7588">
        <w:rPr>
          <w:rFonts w:ascii="Times New Roman" w:hAnsi="Times New Roman" w:cs="Times New Roman"/>
        </w:rPr>
        <w:t>.</w:t>
      </w:r>
      <w:r w:rsidRPr="00AE7588">
        <w:rPr>
          <w:rFonts w:ascii="Times New Roman" w:hAnsi="Times New Roman" w:cs="Times New Roman"/>
        </w:rPr>
        <w:t xml:space="preserve"> </w:t>
      </w:r>
    </w:p>
    <w:p w:rsidR="009F6A08" w:rsidRPr="00AE7588" w:rsidRDefault="009F6A08" w:rsidP="00AE7588">
      <w:pPr>
        <w:pStyle w:val="Body"/>
        <w:spacing w:line="360" w:lineRule="auto"/>
        <w:rPr>
          <w:rFonts w:ascii="Times New Roman" w:eastAsia="Times New Roman" w:hAnsi="Times New Roman" w:cs="Times New Roman"/>
        </w:rPr>
      </w:pPr>
    </w:p>
    <w:p w:rsidR="00514E7F" w:rsidRPr="00AE7588" w:rsidRDefault="00514E7F" w:rsidP="00AE7588">
      <w:pPr>
        <w:pStyle w:val="Body"/>
        <w:spacing w:line="360" w:lineRule="auto"/>
        <w:rPr>
          <w:rFonts w:ascii="Times New Roman" w:hAnsi="Times New Roman" w:cs="Times New Roman"/>
        </w:rPr>
      </w:pPr>
      <w:r w:rsidRPr="00AE7588">
        <w:rPr>
          <w:rFonts w:ascii="Times New Roman" w:hAnsi="Times New Roman" w:cs="Times New Roman"/>
          <w:lang w:val="nl-NL"/>
        </w:rPr>
        <w:t>Mwamwenda</w:t>
      </w:r>
      <w:r w:rsidR="009F6A08" w:rsidRPr="00AE7588">
        <w:rPr>
          <w:rFonts w:ascii="Times New Roman" w:hAnsi="Times New Roman" w:cs="Times New Roman"/>
          <w:lang w:val="nl-NL"/>
        </w:rPr>
        <w:t>,</w:t>
      </w:r>
      <w:r w:rsidRPr="00AE7588">
        <w:rPr>
          <w:rFonts w:ascii="Times New Roman" w:hAnsi="Times New Roman" w:cs="Times New Roman"/>
        </w:rPr>
        <w:t xml:space="preserve"> TS. </w:t>
      </w:r>
      <w:r w:rsidR="009F6A08" w:rsidRPr="00AE7588">
        <w:rPr>
          <w:rFonts w:ascii="Times New Roman" w:hAnsi="Times New Roman" w:cs="Times New Roman"/>
        </w:rPr>
        <w:t xml:space="preserve">1995. </w:t>
      </w:r>
      <w:r w:rsidRPr="00AE7588">
        <w:rPr>
          <w:rFonts w:ascii="Times New Roman" w:hAnsi="Times New Roman" w:cs="Times New Roman"/>
          <w:i/>
        </w:rPr>
        <w:t>Educational psychology - an African perspective</w:t>
      </w:r>
      <w:r w:rsidRPr="00AE7588">
        <w:rPr>
          <w:rFonts w:ascii="Times New Roman" w:hAnsi="Times New Roman" w:cs="Times New Roman"/>
        </w:rPr>
        <w:t>. Durban: Butterworth</w:t>
      </w:r>
      <w:r w:rsidR="009F6A08" w:rsidRPr="00AE7588">
        <w:rPr>
          <w:rFonts w:ascii="Times New Roman" w:hAnsi="Times New Roman" w:cs="Times New Roman"/>
        </w:rPr>
        <w:t>.</w:t>
      </w:r>
    </w:p>
    <w:p w:rsidR="009F6A08" w:rsidRPr="00AE7588" w:rsidRDefault="009F6A08" w:rsidP="00AE7588">
      <w:pPr>
        <w:pStyle w:val="Body"/>
        <w:spacing w:line="360" w:lineRule="auto"/>
        <w:rPr>
          <w:rFonts w:ascii="Times New Roman" w:eastAsia="Times New Roman" w:hAnsi="Times New Roman" w:cs="Times New Roman"/>
        </w:rPr>
      </w:pPr>
    </w:p>
    <w:p w:rsidR="00DB2092" w:rsidRPr="00AE7588" w:rsidRDefault="00DB2092" w:rsidP="00AE7588">
      <w:pPr>
        <w:pStyle w:val="Body"/>
        <w:spacing w:line="360" w:lineRule="auto"/>
        <w:rPr>
          <w:rStyle w:val="Hyperlink0"/>
          <w:rFonts w:ascii="Times New Roman" w:hAnsi="Times New Roman" w:cs="Times New Roman"/>
        </w:rPr>
      </w:pPr>
      <w:r w:rsidRPr="00AE7588">
        <w:rPr>
          <w:rFonts w:ascii="Times New Roman" w:hAnsi="Times New Roman" w:cs="Times New Roman"/>
        </w:rPr>
        <w:t xml:space="preserve">National Student Financial Aid Scheme. </w:t>
      </w:r>
      <w:r w:rsidR="009F6A08" w:rsidRPr="00AE7588">
        <w:rPr>
          <w:rFonts w:ascii="Times New Roman" w:hAnsi="Times New Roman" w:cs="Times New Roman"/>
        </w:rPr>
        <w:t xml:space="preserve">2015. </w:t>
      </w:r>
      <w:r w:rsidRPr="00AE7588">
        <w:rPr>
          <w:rFonts w:ascii="Times New Roman" w:hAnsi="Times New Roman" w:cs="Times New Roman"/>
          <w:i/>
        </w:rPr>
        <w:t>Mission Statement</w:t>
      </w:r>
      <w:r w:rsidRPr="00AE7588">
        <w:rPr>
          <w:rFonts w:ascii="Times New Roman" w:hAnsi="Times New Roman" w:cs="Times New Roman"/>
        </w:rPr>
        <w:t xml:space="preserve">. National Student Financial Aid Scheme; [cited 16 September 2015]. Available from: </w:t>
      </w:r>
      <w:hyperlink r:id="rId12" w:history="1">
        <w:r w:rsidRPr="00AE7588">
          <w:rPr>
            <w:rStyle w:val="Hyperlink0"/>
            <w:rFonts w:ascii="Times New Roman" w:hAnsi="Times New Roman" w:cs="Times New Roman"/>
          </w:rPr>
          <w:t>https://www.nsfas.org.za/NSFAS/ABOUT_US/MISSION_STATEMENT</w:t>
        </w:r>
      </w:hyperlink>
    </w:p>
    <w:p w:rsidR="009F6A08" w:rsidRPr="00AE7588" w:rsidRDefault="009F6A08" w:rsidP="00AE7588">
      <w:pPr>
        <w:pStyle w:val="Body"/>
        <w:spacing w:line="360" w:lineRule="auto"/>
        <w:rPr>
          <w:rStyle w:val="Hyperlink0"/>
          <w:rFonts w:ascii="Times New Roman" w:eastAsia="Times New Roman" w:hAnsi="Times New Roman" w:cs="Times New Roman"/>
          <w:color w:val="000000"/>
          <w:u w:val="none" w:color="000000"/>
        </w:rPr>
      </w:pPr>
    </w:p>
    <w:p w:rsidR="00551CC7" w:rsidRPr="00AE7588" w:rsidRDefault="00832D4B" w:rsidP="00AE7588">
      <w:pPr>
        <w:pStyle w:val="Body"/>
        <w:spacing w:line="360" w:lineRule="auto"/>
        <w:rPr>
          <w:rFonts w:ascii="Times New Roman" w:hAnsi="Times New Roman" w:cs="Times New Roman"/>
        </w:rPr>
      </w:pPr>
      <w:proofErr w:type="spellStart"/>
      <w:r w:rsidRPr="00AE7588">
        <w:rPr>
          <w:rFonts w:ascii="Times New Roman" w:hAnsi="Times New Roman" w:cs="Times New Roman"/>
        </w:rPr>
        <w:t>Ngidi</w:t>
      </w:r>
      <w:proofErr w:type="spellEnd"/>
      <w:r w:rsidR="009F6A08" w:rsidRPr="00AE7588">
        <w:rPr>
          <w:rFonts w:ascii="Times New Roman" w:hAnsi="Times New Roman" w:cs="Times New Roman"/>
        </w:rPr>
        <w:t>,</w:t>
      </w:r>
      <w:r w:rsidRPr="00AE7588">
        <w:rPr>
          <w:rFonts w:ascii="Times New Roman" w:hAnsi="Times New Roman" w:cs="Times New Roman"/>
        </w:rPr>
        <w:t xml:space="preserve"> DP. </w:t>
      </w:r>
      <w:r w:rsidR="009F6A08" w:rsidRPr="00AE7588">
        <w:rPr>
          <w:rFonts w:ascii="Times New Roman" w:hAnsi="Times New Roman" w:cs="Times New Roman"/>
          <w:iCs/>
        </w:rPr>
        <w:t>2007. “</w:t>
      </w:r>
      <w:r w:rsidRPr="00AE7588">
        <w:rPr>
          <w:rFonts w:ascii="Times New Roman" w:hAnsi="Times New Roman" w:cs="Times New Roman"/>
        </w:rPr>
        <w:t>Students' and lecturers' perceptions of some factors influencing students' academic success or failure at a historically black university in South Africa.</w:t>
      </w:r>
      <w:r w:rsidR="009F6A08" w:rsidRPr="00AE7588">
        <w:rPr>
          <w:rFonts w:ascii="Times New Roman" w:hAnsi="Times New Roman" w:cs="Times New Roman"/>
        </w:rPr>
        <w:t>”</w:t>
      </w:r>
      <w:r w:rsidRPr="00AE7588">
        <w:rPr>
          <w:rFonts w:ascii="Times New Roman" w:hAnsi="Times New Roman" w:cs="Times New Roman"/>
        </w:rPr>
        <w:t xml:space="preserve"> </w:t>
      </w:r>
      <w:r w:rsidRPr="00AE7588">
        <w:rPr>
          <w:rFonts w:ascii="Times New Roman" w:hAnsi="Times New Roman" w:cs="Times New Roman"/>
          <w:i/>
        </w:rPr>
        <w:t>South African Journal of Higher Education</w:t>
      </w:r>
      <w:r w:rsidR="009F6A08" w:rsidRPr="00AE7588">
        <w:rPr>
          <w:rFonts w:ascii="Times New Roman" w:hAnsi="Times New Roman" w:cs="Times New Roman"/>
          <w:i/>
          <w:iCs/>
        </w:rPr>
        <w:t xml:space="preserve">. </w:t>
      </w:r>
      <w:r w:rsidRPr="00AE7588">
        <w:rPr>
          <w:rFonts w:ascii="Times New Roman" w:hAnsi="Times New Roman" w:cs="Times New Roman"/>
          <w:iCs/>
        </w:rPr>
        <w:t>21</w:t>
      </w:r>
      <w:r w:rsidRPr="00AE7588">
        <w:rPr>
          <w:rFonts w:ascii="Times New Roman" w:hAnsi="Times New Roman" w:cs="Times New Roman"/>
        </w:rPr>
        <w:t>(4)</w:t>
      </w:r>
      <w:r w:rsidR="009F6A08" w:rsidRPr="00AE7588">
        <w:rPr>
          <w:rFonts w:ascii="Times New Roman" w:hAnsi="Times New Roman" w:cs="Times New Roman"/>
        </w:rPr>
        <w:t>:</w:t>
      </w:r>
      <w:r w:rsidRPr="00AE7588">
        <w:rPr>
          <w:rFonts w:ascii="Times New Roman" w:hAnsi="Times New Roman" w:cs="Times New Roman"/>
        </w:rPr>
        <w:t xml:space="preserve"> 717-732. </w:t>
      </w:r>
    </w:p>
    <w:p w:rsidR="009F6A08" w:rsidRPr="00AE7588" w:rsidRDefault="009F6A08" w:rsidP="00AE7588">
      <w:pPr>
        <w:pStyle w:val="Body"/>
        <w:spacing w:line="360" w:lineRule="auto"/>
        <w:rPr>
          <w:rFonts w:ascii="Times New Roman" w:eastAsia="Times New Roman" w:hAnsi="Times New Roman" w:cs="Times New Roman"/>
        </w:rPr>
      </w:pPr>
    </w:p>
    <w:p w:rsidR="00DB2092" w:rsidRPr="00AE7588" w:rsidRDefault="00DB2092" w:rsidP="00AE7588">
      <w:pPr>
        <w:pStyle w:val="Body"/>
        <w:spacing w:line="360" w:lineRule="auto"/>
        <w:rPr>
          <w:rFonts w:ascii="Times New Roman" w:hAnsi="Times New Roman" w:cs="Times New Roman"/>
        </w:rPr>
      </w:pPr>
      <w:proofErr w:type="spellStart"/>
      <w:r w:rsidRPr="00AE7588">
        <w:rPr>
          <w:rFonts w:ascii="Times New Roman" w:hAnsi="Times New Roman" w:cs="Times New Roman"/>
        </w:rPr>
        <w:t>Obanya</w:t>
      </w:r>
      <w:proofErr w:type="spellEnd"/>
      <w:r w:rsidR="009F6A08" w:rsidRPr="00AE7588">
        <w:rPr>
          <w:rFonts w:ascii="Times New Roman" w:hAnsi="Times New Roman" w:cs="Times New Roman"/>
        </w:rPr>
        <w:t>,</w:t>
      </w:r>
      <w:r w:rsidRPr="00AE7588">
        <w:rPr>
          <w:rFonts w:ascii="Times New Roman" w:hAnsi="Times New Roman" w:cs="Times New Roman"/>
        </w:rPr>
        <w:t xml:space="preserve"> P. </w:t>
      </w:r>
      <w:r w:rsidR="0054787C" w:rsidRPr="00AE7588">
        <w:rPr>
          <w:rFonts w:ascii="Times New Roman" w:hAnsi="Times New Roman" w:cs="Times New Roman"/>
        </w:rPr>
        <w:t>1995. “</w:t>
      </w:r>
      <w:r w:rsidRPr="00AE7588">
        <w:rPr>
          <w:rFonts w:ascii="Times New Roman" w:hAnsi="Times New Roman" w:cs="Times New Roman"/>
        </w:rPr>
        <w:t>Case studies of curriculum innovations in western Africa.</w:t>
      </w:r>
      <w:r w:rsidR="0054787C" w:rsidRPr="00AE7588">
        <w:rPr>
          <w:rFonts w:ascii="Times New Roman" w:hAnsi="Times New Roman" w:cs="Times New Roman"/>
        </w:rPr>
        <w:t>”</w:t>
      </w:r>
      <w:r w:rsidRPr="00AE7588">
        <w:rPr>
          <w:rFonts w:ascii="Times New Roman" w:hAnsi="Times New Roman" w:cs="Times New Roman"/>
        </w:rPr>
        <w:t xml:space="preserve"> </w:t>
      </w:r>
      <w:r w:rsidRPr="00AE7588">
        <w:rPr>
          <w:rFonts w:ascii="Times New Roman" w:hAnsi="Times New Roman" w:cs="Times New Roman"/>
          <w:i/>
        </w:rPr>
        <w:t>International Review of Education</w:t>
      </w:r>
      <w:r w:rsidR="0054787C" w:rsidRPr="00AE7588">
        <w:rPr>
          <w:rFonts w:ascii="Times New Roman" w:hAnsi="Times New Roman" w:cs="Times New Roman"/>
        </w:rPr>
        <w:t xml:space="preserve">. </w:t>
      </w:r>
      <w:r w:rsidRPr="00AE7588">
        <w:rPr>
          <w:rFonts w:ascii="Times New Roman" w:hAnsi="Times New Roman" w:cs="Times New Roman"/>
        </w:rPr>
        <w:t>41(5)</w:t>
      </w:r>
      <w:r w:rsidR="0054787C" w:rsidRPr="00AE7588">
        <w:rPr>
          <w:rFonts w:ascii="Times New Roman" w:hAnsi="Times New Roman" w:cs="Times New Roman"/>
        </w:rPr>
        <w:t>:</w:t>
      </w:r>
      <w:r w:rsidRPr="00AE7588">
        <w:rPr>
          <w:rFonts w:ascii="Times New Roman" w:hAnsi="Times New Roman" w:cs="Times New Roman"/>
        </w:rPr>
        <w:t xml:space="preserve"> 315-336. </w:t>
      </w:r>
    </w:p>
    <w:p w:rsidR="0054787C" w:rsidRPr="00AE7588" w:rsidRDefault="0054787C" w:rsidP="00AE7588">
      <w:pPr>
        <w:pStyle w:val="Body"/>
        <w:spacing w:line="360" w:lineRule="auto"/>
        <w:rPr>
          <w:rFonts w:ascii="Times New Roman" w:eastAsia="Times New Roman" w:hAnsi="Times New Roman" w:cs="Times New Roman"/>
        </w:rPr>
      </w:pPr>
    </w:p>
    <w:p w:rsidR="00ED70D7" w:rsidRPr="00AE7588" w:rsidRDefault="00ED70D7" w:rsidP="00AE7588">
      <w:pPr>
        <w:pStyle w:val="Body"/>
        <w:spacing w:line="360" w:lineRule="auto"/>
        <w:rPr>
          <w:rFonts w:ascii="Times New Roman" w:hAnsi="Times New Roman" w:cs="Times New Roman"/>
        </w:rPr>
      </w:pPr>
      <w:r w:rsidRPr="00AE7588">
        <w:rPr>
          <w:rFonts w:ascii="Times New Roman" w:hAnsi="Times New Roman" w:cs="Times New Roman"/>
        </w:rPr>
        <w:t>Samuel</w:t>
      </w:r>
      <w:r w:rsidR="0054787C" w:rsidRPr="00AE7588">
        <w:rPr>
          <w:rFonts w:ascii="Times New Roman" w:hAnsi="Times New Roman" w:cs="Times New Roman"/>
        </w:rPr>
        <w:t>,</w:t>
      </w:r>
      <w:r w:rsidRPr="00AE7588">
        <w:rPr>
          <w:rFonts w:ascii="Times New Roman" w:hAnsi="Times New Roman" w:cs="Times New Roman"/>
        </w:rPr>
        <w:t xml:space="preserve"> M. </w:t>
      </w:r>
      <w:r w:rsidR="0054787C" w:rsidRPr="00AE7588">
        <w:rPr>
          <w:rFonts w:ascii="Times New Roman" w:hAnsi="Times New Roman" w:cs="Times New Roman"/>
        </w:rPr>
        <w:t>2008. “</w:t>
      </w:r>
      <w:r w:rsidRPr="00AE7588">
        <w:rPr>
          <w:rFonts w:ascii="Times New Roman" w:hAnsi="Times New Roman" w:cs="Times New Roman"/>
        </w:rPr>
        <w:t>Accountability to whom? For what? Teacher identity and the Force Field Model of teacher development.</w:t>
      </w:r>
      <w:r w:rsidR="0054787C" w:rsidRPr="00AE7588">
        <w:rPr>
          <w:rFonts w:ascii="Times New Roman" w:hAnsi="Times New Roman" w:cs="Times New Roman"/>
        </w:rPr>
        <w:t>”</w:t>
      </w:r>
      <w:r w:rsidRPr="00AE7588">
        <w:rPr>
          <w:rFonts w:ascii="Times New Roman" w:hAnsi="Times New Roman" w:cs="Times New Roman"/>
        </w:rPr>
        <w:t xml:space="preserve"> </w:t>
      </w:r>
      <w:r w:rsidRPr="00AE7588">
        <w:rPr>
          <w:rFonts w:ascii="Times New Roman" w:hAnsi="Times New Roman" w:cs="Times New Roman"/>
          <w:i/>
        </w:rPr>
        <w:t>Perspectives in Education</w:t>
      </w:r>
      <w:r w:rsidR="0054787C" w:rsidRPr="00AE7588">
        <w:rPr>
          <w:rFonts w:ascii="Times New Roman" w:hAnsi="Times New Roman" w:cs="Times New Roman"/>
        </w:rPr>
        <w:t xml:space="preserve">. </w:t>
      </w:r>
      <w:r w:rsidRPr="00AE7588">
        <w:rPr>
          <w:rFonts w:ascii="Times New Roman" w:hAnsi="Times New Roman" w:cs="Times New Roman"/>
        </w:rPr>
        <w:t>26(2)</w:t>
      </w:r>
      <w:r w:rsidR="0054787C" w:rsidRPr="00AE7588">
        <w:rPr>
          <w:rFonts w:ascii="Times New Roman" w:hAnsi="Times New Roman" w:cs="Times New Roman"/>
        </w:rPr>
        <w:t>:</w:t>
      </w:r>
      <w:r w:rsidRPr="00AE7588">
        <w:rPr>
          <w:rFonts w:ascii="Times New Roman" w:hAnsi="Times New Roman" w:cs="Times New Roman"/>
        </w:rPr>
        <w:t xml:space="preserve"> 3-16. </w:t>
      </w:r>
    </w:p>
    <w:p w:rsidR="0054787C" w:rsidRPr="00AE7588" w:rsidRDefault="0054787C" w:rsidP="00AE7588">
      <w:pPr>
        <w:pStyle w:val="Body"/>
        <w:spacing w:line="360" w:lineRule="auto"/>
        <w:rPr>
          <w:rFonts w:ascii="Times New Roman" w:eastAsia="Times New Roman" w:hAnsi="Times New Roman" w:cs="Times New Roman"/>
        </w:rPr>
      </w:pPr>
    </w:p>
    <w:p w:rsidR="00ED70D7" w:rsidRPr="00AE7588" w:rsidRDefault="00ED70D7" w:rsidP="00AE7588">
      <w:pPr>
        <w:pStyle w:val="Body"/>
        <w:spacing w:line="360" w:lineRule="auto"/>
        <w:rPr>
          <w:rFonts w:ascii="Times New Roman" w:hAnsi="Times New Roman" w:cs="Times New Roman"/>
        </w:rPr>
      </w:pPr>
      <w:r w:rsidRPr="00AE7588">
        <w:rPr>
          <w:rFonts w:ascii="Times New Roman" w:hAnsi="Times New Roman" w:cs="Times New Roman"/>
          <w:lang w:val="pt-PT"/>
        </w:rPr>
        <w:t>Singaram</w:t>
      </w:r>
      <w:r w:rsidR="0054787C" w:rsidRPr="00AE7588">
        <w:rPr>
          <w:rFonts w:ascii="Times New Roman" w:hAnsi="Times New Roman" w:cs="Times New Roman"/>
          <w:lang w:val="pt-PT"/>
        </w:rPr>
        <w:t>,</w:t>
      </w:r>
      <w:r w:rsidRPr="00AE7588">
        <w:rPr>
          <w:rFonts w:ascii="Times New Roman" w:hAnsi="Times New Roman" w:cs="Times New Roman"/>
          <w:lang w:val="pt-PT"/>
        </w:rPr>
        <w:t xml:space="preserve"> VS, Sommerville</w:t>
      </w:r>
      <w:r w:rsidR="0054787C" w:rsidRPr="00AE7588">
        <w:rPr>
          <w:rFonts w:ascii="Times New Roman" w:hAnsi="Times New Roman" w:cs="Times New Roman"/>
          <w:lang w:val="pt-PT"/>
        </w:rPr>
        <w:t>,</w:t>
      </w:r>
      <w:r w:rsidRPr="00AE7588">
        <w:rPr>
          <w:rFonts w:ascii="Times New Roman" w:hAnsi="Times New Roman" w:cs="Times New Roman"/>
        </w:rPr>
        <w:t xml:space="preserve"> </w:t>
      </w:r>
      <w:r w:rsidRPr="00AE7588">
        <w:rPr>
          <w:rFonts w:ascii="Times New Roman" w:hAnsi="Times New Roman" w:cs="Times New Roman"/>
          <w:lang w:val="nl-NL"/>
        </w:rPr>
        <w:t>TE, van der Vleuten</w:t>
      </w:r>
      <w:r w:rsidR="0054787C" w:rsidRPr="00AE7588">
        <w:rPr>
          <w:rFonts w:ascii="Times New Roman" w:hAnsi="Times New Roman" w:cs="Times New Roman"/>
          <w:lang w:val="nl-NL"/>
        </w:rPr>
        <w:t>,</w:t>
      </w:r>
      <w:r w:rsidRPr="00AE7588">
        <w:rPr>
          <w:rFonts w:ascii="Times New Roman" w:hAnsi="Times New Roman" w:cs="Times New Roman"/>
        </w:rPr>
        <w:t xml:space="preserve"> CPM &amp; Dolmans</w:t>
      </w:r>
      <w:r w:rsidR="0054787C" w:rsidRPr="00AE7588">
        <w:rPr>
          <w:rFonts w:ascii="Times New Roman" w:hAnsi="Times New Roman" w:cs="Times New Roman"/>
        </w:rPr>
        <w:t>,</w:t>
      </w:r>
      <w:r w:rsidRPr="00AE7588">
        <w:rPr>
          <w:rFonts w:ascii="Times New Roman" w:hAnsi="Times New Roman" w:cs="Times New Roman"/>
        </w:rPr>
        <w:t xml:space="preserve"> DHJM. </w:t>
      </w:r>
      <w:r w:rsidR="0054787C" w:rsidRPr="00AE7588">
        <w:rPr>
          <w:rFonts w:ascii="Times New Roman" w:hAnsi="Times New Roman" w:cs="Times New Roman"/>
        </w:rPr>
        <w:t xml:space="preserve">2011. </w:t>
      </w:r>
      <w:proofErr w:type="gramStart"/>
      <w:r w:rsidR="0054787C" w:rsidRPr="00AE7588">
        <w:rPr>
          <w:rFonts w:ascii="Times New Roman" w:hAnsi="Times New Roman" w:cs="Times New Roman"/>
        </w:rPr>
        <w:t xml:space="preserve">“ </w:t>
      </w:r>
      <w:r w:rsidRPr="00AE7588">
        <w:rPr>
          <w:rFonts w:ascii="Times New Roman" w:hAnsi="Times New Roman" w:cs="Times New Roman"/>
        </w:rPr>
        <w:t>'Looking</w:t>
      </w:r>
      <w:proofErr w:type="gramEnd"/>
      <w:r w:rsidRPr="00AE7588">
        <w:rPr>
          <w:rFonts w:ascii="Times New Roman" w:hAnsi="Times New Roman" w:cs="Times New Roman"/>
        </w:rPr>
        <w:t xml:space="preserve"> at the glass half full': Exploring collaborative mixed group learning as a transformative force for social inclusion in a South African higher education setting.</w:t>
      </w:r>
      <w:r w:rsidR="0054787C" w:rsidRPr="00AE7588">
        <w:rPr>
          <w:rFonts w:ascii="Times New Roman" w:hAnsi="Times New Roman" w:cs="Times New Roman"/>
        </w:rPr>
        <w:t>”</w:t>
      </w:r>
      <w:r w:rsidRPr="00AE7588">
        <w:rPr>
          <w:rFonts w:ascii="Times New Roman" w:hAnsi="Times New Roman" w:cs="Times New Roman"/>
        </w:rPr>
        <w:t xml:space="preserve"> </w:t>
      </w:r>
      <w:r w:rsidRPr="00AE7588">
        <w:rPr>
          <w:rFonts w:ascii="Times New Roman" w:hAnsi="Times New Roman" w:cs="Times New Roman"/>
          <w:i/>
        </w:rPr>
        <w:t>Alternation: International Journal for the Study of Southern African Literature and Languages</w:t>
      </w:r>
      <w:r w:rsidR="0054787C" w:rsidRPr="00AE7588">
        <w:rPr>
          <w:rFonts w:ascii="Times New Roman" w:hAnsi="Times New Roman" w:cs="Times New Roman"/>
        </w:rPr>
        <w:t xml:space="preserve">. </w:t>
      </w:r>
      <w:r w:rsidRPr="00AE7588">
        <w:rPr>
          <w:rFonts w:ascii="Times New Roman" w:hAnsi="Times New Roman" w:cs="Times New Roman"/>
        </w:rPr>
        <w:t>18(2)</w:t>
      </w:r>
      <w:r w:rsidR="0054787C" w:rsidRPr="00AE7588">
        <w:rPr>
          <w:rFonts w:ascii="Times New Roman" w:hAnsi="Times New Roman" w:cs="Times New Roman"/>
        </w:rPr>
        <w:t>:</w:t>
      </w:r>
      <w:r w:rsidRPr="00AE7588">
        <w:rPr>
          <w:rFonts w:ascii="Times New Roman" w:hAnsi="Times New Roman" w:cs="Times New Roman"/>
        </w:rPr>
        <w:t xml:space="preserve"> 96-114. </w:t>
      </w:r>
    </w:p>
    <w:p w:rsidR="0054787C" w:rsidRPr="00AE7588" w:rsidRDefault="0054787C" w:rsidP="00AE7588">
      <w:pPr>
        <w:pStyle w:val="Body"/>
        <w:spacing w:line="360" w:lineRule="auto"/>
        <w:rPr>
          <w:rFonts w:ascii="Times New Roman" w:eastAsia="Times New Roman" w:hAnsi="Times New Roman" w:cs="Times New Roman"/>
        </w:rPr>
      </w:pPr>
    </w:p>
    <w:p w:rsidR="00DB2092" w:rsidRPr="00AE7588" w:rsidRDefault="00DB2092" w:rsidP="00AE7588">
      <w:pPr>
        <w:pStyle w:val="Body"/>
        <w:spacing w:line="360" w:lineRule="auto"/>
        <w:rPr>
          <w:rFonts w:ascii="Times New Roman" w:hAnsi="Times New Roman" w:cs="Times New Roman"/>
        </w:rPr>
      </w:pPr>
      <w:r w:rsidRPr="00AE7588">
        <w:rPr>
          <w:rFonts w:ascii="Times New Roman" w:hAnsi="Times New Roman" w:cs="Times New Roman"/>
          <w:lang w:val="fr-FR"/>
        </w:rPr>
        <w:t>Sommerville</w:t>
      </w:r>
      <w:r w:rsidR="0054787C" w:rsidRPr="00AE7588">
        <w:rPr>
          <w:rFonts w:ascii="Times New Roman" w:hAnsi="Times New Roman" w:cs="Times New Roman"/>
          <w:lang w:val="fr-FR"/>
        </w:rPr>
        <w:t>,</w:t>
      </w:r>
      <w:r w:rsidRPr="00AE7588">
        <w:rPr>
          <w:rFonts w:ascii="Times New Roman" w:hAnsi="Times New Roman" w:cs="Times New Roman"/>
          <w:lang w:val="fr-FR"/>
        </w:rPr>
        <w:t xml:space="preserve"> TE</w:t>
      </w:r>
      <w:r w:rsidRPr="00AE7588">
        <w:rPr>
          <w:rFonts w:ascii="Times New Roman" w:hAnsi="Times New Roman" w:cs="Times New Roman"/>
        </w:rPr>
        <w:t xml:space="preserve">. </w:t>
      </w:r>
      <w:r w:rsidR="0054787C" w:rsidRPr="00AE7588">
        <w:rPr>
          <w:rFonts w:ascii="Times New Roman" w:hAnsi="Times New Roman" w:cs="Times New Roman"/>
        </w:rPr>
        <w:t>2013. “</w:t>
      </w:r>
      <w:r w:rsidRPr="00AE7588">
        <w:rPr>
          <w:rFonts w:ascii="Times New Roman" w:hAnsi="Times New Roman" w:cs="Times New Roman"/>
        </w:rPr>
        <w:t>Race, power, performance and perception: practical and theoretical observations in higher education at the University of KwaZulu-Natal.</w:t>
      </w:r>
      <w:r w:rsidR="0054787C" w:rsidRPr="00AE7588">
        <w:rPr>
          <w:rFonts w:ascii="Times New Roman" w:hAnsi="Times New Roman" w:cs="Times New Roman"/>
        </w:rPr>
        <w:t>”</w:t>
      </w:r>
      <w:r w:rsidRPr="00AE7588">
        <w:rPr>
          <w:rFonts w:ascii="Times New Roman" w:hAnsi="Times New Roman" w:cs="Times New Roman"/>
        </w:rPr>
        <w:t xml:space="preserve"> </w:t>
      </w:r>
      <w:r w:rsidRPr="00AE7588">
        <w:rPr>
          <w:rFonts w:ascii="Times New Roman" w:hAnsi="Times New Roman" w:cs="Times New Roman"/>
          <w:i/>
        </w:rPr>
        <w:t>Alternation</w:t>
      </w:r>
      <w:r w:rsidR="0054787C" w:rsidRPr="00AE7588">
        <w:rPr>
          <w:rFonts w:ascii="Times New Roman" w:hAnsi="Times New Roman" w:cs="Times New Roman"/>
          <w:i/>
          <w:iCs/>
        </w:rPr>
        <w:t>.</w:t>
      </w:r>
      <w:r w:rsidRPr="00AE7588">
        <w:rPr>
          <w:rFonts w:ascii="Times New Roman" w:hAnsi="Times New Roman" w:cs="Times New Roman"/>
          <w:i/>
          <w:iCs/>
        </w:rPr>
        <w:t xml:space="preserve">  </w:t>
      </w:r>
      <w:r w:rsidRPr="00AE7588">
        <w:rPr>
          <w:rFonts w:ascii="Times New Roman" w:hAnsi="Times New Roman" w:cs="Times New Roman"/>
        </w:rPr>
        <w:t>20(1)</w:t>
      </w:r>
      <w:r w:rsidR="0054787C" w:rsidRPr="00AE7588">
        <w:rPr>
          <w:rFonts w:ascii="Times New Roman" w:hAnsi="Times New Roman" w:cs="Times New Roman"/>
        </w:rPr>
        <w:t>:</w:t>
      </w:r>
      <w:r w:rsidRPr="00AE7588">
        <w:rPr>
          <w:rFonts w:ascii="Times New Roman" w:hAnsi="Times New Roman" w:cs="Times New Roman"/>
        </w:rPr>
        <w:t xml:space="preserve"> 74</w:t>
      </w:r>
      <w:r w:rsidR="0054787C" w:rsidRPr="00AE7588">
        <w:rPr>
          <w:rFonts w:ascii="Times New Roman" w:hAnsi="Times New Roman" w:cs="Times New Roman"/>
        </w:rPr>
        <w:t>-</w:t>
      </w:r>
      <w:r w:rsidRPr="00AE7588">
        <w:rPr>
          <w:rFonts w:ascii="Times New Roman" w:hAnsi="Times New Roman" w:cs="Times New Roman"/>
        </w:rPr>
        <w:t xml:space="preserve">99. </w:t>
      </w:r>
    </w:p>
    <w:p w:rsidR="0054787C" w:rsidRPr="00AE7588" w:rsidRDefault="0054787C" w:rsidP="00AE7588">
      <w:pPr>
        <w:pStyle w:val="Body"/>
        <w:spacing w:line="360" w:lineRule="auto"/>
        <w:rPr>
          <w:rFonts w:ascii="Times New Roman" w:eastAsia="Times New Roman" w:hAnsi="Times New Roman" w:cs="Times New Roman"/>
        </w:rPr>
      </w:pPr>
    </w:p>
    <w:p w:rsidR="007C185F" w:rsidRPr="00AE7588" w:rsidRDefault="00ED70D7" w:rsidP="00AE7588">
      <w:pPr>
        <w:pStyle w:val="Body"/>
        <w:spacing w:line="360" w:lineRule="auto"/>
        <w:rPr>
          <w:rStyle w:val="Hyperlink0"/>
          <w:rFonts w:ascii="Times New Roman" w:hAnsi="Times New Roman" w:cs="Times New Roman"/>
        </w:rPr>
      </w:pPr>
      <w:proofErr w:type="spellStart"/>
      <w:r w:rsidRPr="00AE7588">
        <w:rPr>
          <w:rFonts w:ascii="Times New Roman" w:hAnsi="Times New Roman" w:cs="Times New Roman"/>
        </w:rPr>
        <w:t>Trochim</w:t>
      </w:r>
      <w:proofErr w:type="spellEnd"/>
      <w:r w:rsidR="0054787C" w:rsidRPr="00AE7588">
        <w:rPr>
          <w:rFonts w:ascii="Times New Roman" w:hAnsi="Times New Roman" w:cs="Times New Roman"/>
        </w:rPr>
        <w:t>,</w:t>
      </w:r>
      <w:r w:rsidRPr="00AE7588">
        <w:rPr>
          <w:rFonts w:ascii="Times New Roman" w:hAnsi="Times New Roman" w:cs="Times New Roman"/>
        </w:rPr>
        <w:t xml:space="preserve"> WMK. 2006. </w:t>
      </w:r>
      <w:r w:rsidRPr="00AE7588">
        <w:rPr>
          <w:rFonts w:ascii="Times New Roman" w:hAnsi="Times New Roman" w:cs="Times New Roman"/>
          <w:i/>
        </w:rPr>
        <w:t>General linear model. Social Research Methods</w:t>
      </w:r>
      <w:r w:rsidR="0054787C" w:rsidRPr="00AE7588">
        <w:rPr>
          <w:rFonts w:ascii="Times New Roman" w:hAnsi="Times New Roman" w:cs="Times New Roman"/>
        </w:rPr>
        <w:t xml:space="preserve">. </w:t>
      </w:r>
      <w:r w:rsidRPr="00AE7588">
        <w:rPr>
          <w:rFonts w:ascii="Times New Roman" w:hAnsi="Times New Roman" w:cs="Times New Roman"/>
        </w:rPr>
        <w:t>[</w:t>
      </w:r>
      <w:proofErr w:type="gramStart"/>
      <w:r w:rsidRPr="00AE7588">
        <w:rPr>
          <w:rFonts w:ascii="Times New Roman" w:hAnsi="Times New Roman" w:cs="Times New Roman"/>
        </w:rPr>
        <w:t>cited</w:t>
      </w:r>
      <w:proofErr w:type="gramEnd"/>
      <w:r w:rsidRPr="00AE7588">
        <w:rPr>
          <w:rFonts w:ascii="Times New Roman" w:hAnsi="Times New Roman" w:cs="Times New Roman"/>
        </w:rPr>
        <w:t xml:space="preserve"> 1 December 2010]. Available from </w:t>
      </w:r>
      <w:hyperlink r:id="rId13" w:history="1">
        <w:r w:rsidRPr="00AE7588">
          <w:rPr>
            <w:rStyle w:val="Hyperlink0"/>
            <w:rFonts w:ascii="Times New Roman" w:hAnsi="Times New Roman" w:cs="Times New Roman"/>
          </w:rPr>
          <w:t>http://www.socialresearchmethods.net/kb/genlin.php</w:t>
        </w:r>
      </w:hyperlink>
    </w:p>
    <w:p w:rsidR="0054787C" w:rsidRPr="00AE7588" w:rsidRDefault="0054787C" w:rsidP="00AE7588">
      <w:pPr>
        <w:pStyle w:val="Body"/>
        <w:spacing w:line="360" w:lineRule="auto"/>
        <w:rPr>
          <w:rStyle w:val="Hyperlink0"/>
          <w:rFonts w:ascii="Times New Roman" w:eastAsia="Times New Roman" w:hAnsi="Times New Roman" w:cs="Times New Roman"/>
          <w:color w:val="000000"/>
          <w:u w:val="none" w:color="000000"/>
        </w:rPr>
      </w:pPr>
    </w:p>
    <w:p w:rsidR="00ED70D7" w:rsidRPr="00AE7588" w:rsidRDefault="00ED70D7" w:rsidP="00AE7588">
      <w:pPr>
        <w:pStyle w:val="Body"/>
        <w:spacing w:line="360" w:lineRule="auto"/>
        <w:rPr>
          <w:rFonts w:ascii="Times New Roman" w:hAnsi="Times New Roman" w:cs="Times New Roman"/>
        </w:rPr>
      </w:pPr>
      <w:proofErr w:type="spellStart"/>
      <w:r w:rsidRPr="00AE7588">
        <w:rPr>
          <w:rFonts w:ascii="Times New Roman" w:hAnsi="Times New Roman" w:cs="Times New Roman"/>
        </w:rPr>
        <w:t>Trueman</w:t>
      </w:r>
      <w:proofErr w:type="spellEnd"/>
      <w:r w:rsidR="0054787C" w:rsidRPr="00AE7588">
        <w:rPr>
          <w:rFonts w:ascii="Times New Roman" w:hAnsi="Times New Roman" w:cs="Times New Roman"/>
        </w:rPr>
        <w:t>,</w:t>
      </w:r>
      <w:r w:rsidRPr="00AE7588">
        <w:rPr>
          <w:rFonts w:ascii="Times New Roman" w:hAnsi="Times New Roman" w:cs="Times New Roman"/>
        </w:rPr>
        <w:t xml:space="preserve"> M &amp; Hartley</w:t>
      </w:r>
      <w:r w:rsidR="0054787C" w:rsidRPr="00AE7588">
        <w:rPr>
          <w:rFonts w:ascii="Times New Roman" w:hAnsi="Times New Roman" w:cs="Times New Roman"/>
        </w:rPr>
        <w:t>,</w:t>
      </w:r>
      <w:r w:rsidRPr="00AE7588">
        <w:rPr>
          <w:rFonts w:ascii="Times New Roman" w:hAnsi="Times New Roman" w:cs="Times New Roman"/>
        </w:rPr>
        <w:t xml:space="preserve"> J. </w:t>
      </w:r>
      <w:r w:rsidR="0054787C" w:rsidRPr="00AE7588">
        <w:rPr>
          <w:rFonts w:ascii="Times New Roman" w:hAnsi="Times New Roman" w:cs="Times New Roman"/>
        </w:rPr>
        <w:t>1996. “</w:t>
      </w:r>
      <w:r w:rsidRPr="00AE7588">
        <w:rPr>
          <w:rFonts w:ascii="Times New Roman" w:hAnsi="Times New Roman" w:cs="Times New Roman"/>
        </w:rPr>
        <w:t>A comparison between the time-management skills and academic performance of mature and traditional-entry university students.</w:t>
      </w:r>
      <w:r w:rsidR="0054787C" w:rsidRPr="00AE7588">
        <w:rPr>
          <w:rFonts w:ascii="Times New Roman" w:hAnsi="Times New Roman" w:cs="Times New Roman"/>
        </w:rPr>
        <w:t>”</w:t>
      </w:r>
      <w:r w:rsidRPr="00AE7588">
        <w:rPr>
          <w:rFonts w:ascii="Times New Roman" w:hAnsi="Times New Roman" w:cs="Times New Roman"/>
        </w:rPr>
        <w:t xml:space="preserve"> </w:t>
      </w:r>
      <w:r w:rsidRPr="00AE7588">
        <w:rPr>
          <w:rFonts w:ascii="Times New Roman" w:hAnsi="Times New Roman" w:cs="Times New Roman"/>
          <w:i/>
        </w:rPr>
        <w:t>Higher Education</w:t>
      </w:r>
      <w:r w:rsidR="0054787C" w:rsidRPr="00AE7588">
        <w:rPr>
          <w:rFonts w:ascii="Times New Roman" w:hAnsi="Times New Roman" w:cs="Times New Roman"/>
        </w:rPr>
        <w:t xml:space="preserve">. </w:t>
      </w:r>
      <w:r w:rsidRPr="00AE7588">
        <w:rPr>
          <w:rFonts w:ascii="Times New Roman" w:hAnsi="Times New Roman" w:cs="Times New Roman"/>
        </w:rPr>
        <w:t>32</w:t>
      </w:r>
      <w:r w:rsidR="0054787C" w:rsidRPr="00AE7588">
        <w:rPr>
          <w:rFonts w:ascii="Times New Roman" w:hAnsi="Times New Roman" w:cs="Times New Roman"/>
        </w:rPr>
        <w:t>:</w:t>
      </w:r>
      <w:r w:rsidRPr="00AE7588">
        <w:rPr>
          <w:rFonts w:ascii="Times New Roman" w:hAnsi="Times New Roman" w:cs="Times New Roman"/>
        </w:rPr>
        <w:t xml:space="preserve"> 199-215. </w:t>
      </w:r>
    </w:p>
    <w:p w:rsidR="0054787C" w:rsidRPr="00AE7588" w:rsidRDefault="0054787C" w:rsidP="00AE7588">
      <w:pPr>
        <w:pStyle w:val="Body"/>
        <w:spacing w:line="360" w:lineRule="auto"/>
        <w:rPr>
          <w:rFonts w:ascii="Times New Roman" w:eastAsia="Times New Roman" w:hAnsi="Times New Roman" w:cs="Times New Roman"/>
        </w:rPr>
      </w:pPr>
    </w:p>
    <w:p w:rsidR="00514E7F" w:rsidRPr="00AE7588" w:rsidRDefault="00514E7F" w:rsidP="00AE7588">
      <w:pPr>
        <w:pStyle w:val="Body"/>
        <w:spacing w:line="360" w:lineRule="auto"/>
        <w:rPr>
          <w:rFonts w:ascii="Times New Roman" w:hAnsi="Times New Roman" w:cs="Times New Roman"/>
        </w:rPr>
      </w:pPr>
      <w:r w:rsidRPr="00AE7588">
        <w:rPr>
          <w:rFonts w:ascii="Times New Roman" w:hAnsi="Times New Roman" w:cs="Times New Roman"/>
        </w:rPr>
        <w:t xml:space="preserve">University of KwaZulu-Natal. </w:t>
      </w:r>
      <w:r w:rsidR="0054787C" w:rsidRPr="00AE7588">
        <w:rPr>
          <w:rFonts w:ascii="Times New Roman" w:hAnsi="Times New Roman" w:cs="Times New Roman"/>
        </w:rPr>
        <w:t xml:space="preserve">2012. </w:t>
      </w:r>
      <w:r w:rsidRPr="00AE7588">
        <w:rPr>
          <w:rFonts w:ascii="Times New Roman" w:hAnsi="Times New Roman" w:cs="Times New Roman"/>
          <w:i/>
        </w:rPr>
        <w:t>Undergraduate prospectus</w:t>
      </w:r>
      <w:r w:rsidRPr="00AE7588">
        <w:rPr>
          <w:rFonts w:ascii="Times New Roman" w:hAnsi="Times New Roman" w:cs="Times New Roman"/>
        </w:rPr>
        <w:t>. Durban &amp; Pietermaritzburg: Student Academic Administration.</w:t>
      </w:r>
    </w:p>
    <w:p w:rsidR="0054787C" w:rsidRPr="00AE7588" w:rsidRDefault="0054787C" w:rsidP="00AE7588">
      <w:pPr>
        <w:pStyle w:val="Body"/>
        <w:spacing w:line="360" w:lineRule="auto"/>
        <w:rPr>
          <w:rFonts w:ascii="Times New Roman" w:eastAsia="Times New Roman" w:hAnsi="Times New Roman" w:cs="Times New Roman"/>
          <w:b/>
          <w:bCs/>
        </w:rPr>
      </w:pPr>
    </w:p>
    <w:p w:rsidR="00DB2092" w:rsidRPr="00AE7588" w:rsidRDefault="00DB2092" w:rsidP="00AE7588">
      <w:pPr>
        <w:pStyle w:val="Body"/>
        <w:spacing w:line="360" w:lineRule="auto"/>
        <w:rPr>
          <w:rFonts w:ascii="Times New Roman" w:eastAsia="Times New Roman" w:hAnsi="Times New Roman" w:cs="Times New Roman"/>
        </w:rPr>
      </w:pPr>
      <w:proofErr w:type="spellStart"/>
      <w:r w:rsidRPr="00AE7588">
        <w:rPr>
          <w:rFonts w:ascii="Times New Roman" w:hAnsi="Times New Roman" w:cs="Times New Roman"/>
        </w:rPr>
        <w:t>Zeleza</w:t>
      </w:r>
      <w:proofErr w:type="spellEnd"/>
      <w:r w:rsidR="0054787C" w:rsidRPr="00AE7588">
        <w:rPr>
          <w:rFonts w:ascii="Times New Roman" w:hAnsi="Times New Roman" w:cs="Times New Roman"/>
        </w:rPr>
        <w:t>,</w:t>
      </w:r>
      <w:r w:rsidRPr="00AE7588">
        <w:rPr>
          <w:rFonts w:ascii="Times New Roman" w:hAnsi="Times New Roman" w:cs="Times New Roman"/>
        </w:rPr>
        <w:t xml:space="preserve"> PT &amp; </w:t>
      </w:r>
      <w:proofErr w:type="spellStart"/>
      <w:r w:rsidRPr="00AE7588">
        <w:rPr>
          <w:rFonts w:ascii="Times New Roman" w:hAnsi="Times New Roman" w:cs="Times New Roman"/>
        </w:rPr>
        <w:t>Olekoshi</w:t>
      </w:r>
      <w:proofErr w:type="spellEnd"/>
      <w:r w:rsidR="0054787C" w:rsidRPr="00AE7588">
        <w:rPr>
          <w:rFonts w:ascii="Times New Roman" w:hAnsi="Times New Roman" w:cs="Times New Roman"/>
        </w:rPr>
        <w:t>,</w:t>
      </w:r>
      <w:r w:rsidRPr="00AE7588">
        <w:rPr>
          <w:rFonts w:ascii="Times New Roman" w:hAnsi="Times New Roman" w:cs="Times New Roman"/>
        </w:rPr>
        <w:t xml:space="preserve"> A. </w:t>
      </w:r>
      <w:r w:rsidR="0054787C" w:rsidRPr="00AE7588">
        <w:rPr>
          <w:rFonts w:ascii="Times New Roman" w:hAnsi="Times New Roman" w:cs="Times New Roman"/>
        </w:rPr>
        <w:t>2004. “</w:t>
      </w:r>
      <w:r w:rsidRPr="00AE7588">
        <w:rPr>
          <w:rFonts w:ascii="Times New Roman" w:hAnsi="Times New Roman" w:cs="Times New Roman"/>
        </w:rPr>
        <w:t>African Universities in the twenty-first century: Future challenges and a research agenda.</w:t>
      </w:r>
      <w:r w:rsidR="0054787C" w:rsidRPr="00AE7588">
        <w:rPr>
          <w:rFonts w:ascii="Times New Roman" w:hAnsi="Times New Roman" w:cs="Times New Roman"/>
        </w:rPr>
        <w:t>”</w:t>
      </w:r>
      <w:r w:rsidRPr="00AE7588">
        <w:rPr>
          <w:rFonts w:ascii="Times New Roman" w:hAnsi="Times New Roman" w:cs="Times New Roman"/>
        </w:rPr>
        <w:t xml:space="preserve"> In: </w:t>
      </w:r>
      <w:proofErr w:type="spellStart"/>
      <w:r w:rsidRPr="00AE7588">
        <w:rPr>
          <w:rFonts w:ascii="Times New Roman" w:hAnsi="Times New Roman" w:cs="Times New Roman"/>
        </w:rPr>
        <w:t>Zeleza</w:t>
      </w:r>
      <w:proofErr w:type="spellEnd"/>
      <w:r w:rsidR="0054787C" w:rsidRPr="00AE7588">
        <w:rPr>
          <w:rFonts w:ascii="Times New Roman" w:hAnsi="Times New Roman" w:cs="Times New Roman"/>
        </w:rPr>
        <w:t>,</w:t>
      </w:r>
      <w:r w:rsidRPr="00AE7588">
        <w:rPr>
          <w:rFonts w:ascii="Times New Roman" w:hAnsi="Times New Roman" w:cs="Times New Roman"/>
        </w:rPr>
        <w:t xml:space="preserve"> PT &amp; </w:t>
      </w:r>
      <w:proofErr w:type="spellStart"/>
      <w:r w:rsidRPr="00AE7588">
        <w:rPr>
          <w:rFonts w:ascii="Times New Roman" w:hAnsi="Times New Roman" w:cs="Times New Roman"/>
        </w:rPr>
        <w:t>Olekoshi</w:t>
      </w:r>
      <w:proofErr w:type="spellEnd"/>
      <w:r w:rsidR="0054787C" w:rsidRPr="00AE7588">
        <w:rPr>
          <w:rFonts w:ascii="Times New Roman" w:hAnsi="Times New Roman" w:cs="Times New Roman"/>
        </w:rPr>
        <w:t>,</w:t>
      </w:r>
      <w:r w:rsidRPr="00AE7588">
        <w:rPr>
          <w:rFonts w:ascii="Times New Roman" w:hAnsi="Times New Roman" w:cs="Times New Roman"/>
        </w:rPr>
        <w:t xml:space="preserve"> A, editors. </w:t>
      </w:r>
      <w:r w:rsidRPr="00AE7588">
        <w:rPr>
          <w:rFonts w:ascii="Times New Roman" w:hAnsi="Times New Roman" w:cs="Times New Roman"/>
          <w:i/>
        </w:rPr>
        <w:t>African Universities in the twenty-first century</w:t>
      </w:r>
      <w:r w:rsidRPr="00AE7588">
        <w:rPr>
          <w:rFonts w:ascii="Times New Roman" w:hAnsi="Times New Roman" w:cs="Times New Roman"/>
        </w:rPr>
        <w:t xml:space="preserve">. Pretoria: </w:t>
      </w:r>
      <w:proofErr w:type="spellStart"/>
      <w:r w:rsidRPr="00AE7588">
        <w:rPr>
          <w:rFonts w:ascii="Times New Roman" w:hAnsi="Times New Roman" w:cs="Times New Roman"/>
        </w:rPr>
        <w:t>Unisa</w:t>
      </w:r>
      <w:proofErr w:type="spellEnd"/>
      <w:r w:rsidRPr="00AE7588">
        <w:rPr>
          <w:rFonts w:ascii="Times New Roman" w:hAnsi="Times New Roman" w:cs="Times New Roman"/>
        </w:rPr>
        <w:t xml:space="preserve"> Press</w:t>
      </w:r>
      <w:r w:rsidR="0054787C" w:rsidRPr="00AE7588">
        <w:rPr>
          <w:rFonts w:ascii="Times New Roman" w:hAnsi="Times New Roman" w:cs="Times New Roman"/>
        </w:rPr>
        <w:t>.</w:t>
      </w:r>
      <w:r w:rsidRPr="00AE7588">
        <w:rPr>
          <w:rFonts w:ascii="Times New Roman" w:hAnsi="Times New Roman" w:cs="Times New Roman"/>
        </w:rPr>
        <w:t xml:space="preserve"> </w:t>
      </w:r>
    </w:p>
    <w:p w:rsidR="00ED70D7" w:rsidRPr="00AE7588" w:rsidRDefault="00ED70D7" w:rsidP="00AE7588">
      <w:pPr>
        <w:pStyle w:val="Body"/>
        <w:spacing w:line="360" w:lineRule="auto"/>
        <w:rPr>
          <w:rFonts w:ascii="Times New Roman" w:hAnsi="Times New Roman" w:cs="Times New Roman"/>
        </w:rPr>
      </w:pPr>
    </w:p>
    <w:p w:rsidR="00ED70D7" w:rsidRDefault="00ED70D7" w:rsidP="00AE7588">
      <w:pPr>
        <w:pStyle w:val="Body"/>
        <w:spacing w:line="360" w:lineRule="auto"/>
        <w:rPr>
          <w:rFonts w:ascii="Times New Roman" w:eastAsia="Times New Roman" w:hAnsi="Times New Roman" w:cs="Times New Roman"/>
          <w:b/>
          <w:bCs/>
        </w:rPr>
      </w:pPr>
    </w:p>
    <w:bookmarkEnd w:id="1"/>
    <w:p w:rsidR="00D91F65" w:rsidRDefault="00D91F65" w:rsidP="00AE7588">
      <w:pPr>
        <w:pStyle w:val="Body"/>
        <w:spacing w:line="360" w:lineRule="auto"/>
        <w:ind w:left="720" w:hanging="720"/>
      </w:pPr>
    </w:p>
    <w:sectPr w:rsidR="00D91F65">
      <w:footerReference w:type="default" r:id="rId14"/>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E26" w:rsidRDefault="00B40E26">
      <w:r>
        <w:separator/>
      </w:r>
    </w:p>
  </w:endnote>
  <w:endnote w:type="continuationSeparator" w:id="0">
    <w:p w:rsidR="00B40E26" w:rsidRDefault="00B4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6E" w:rsidRDefault="00462F6E">
    <w:pPr>
      <w:pStyle w:val="Footer"/>
      <w:jc w:val="center"/>
    </w:pPr>
    <w:r>
      <w:fldChar w:fldCharType="begin"/>
    </w:r>
    <w:r>
      <w:instrText xml:space="preserve"> PAGE </w:instrText>
    </w:r>
    <w:r>
      <w:fldChar w:fldCharType="separate"/>
    </w:r>
    <w:r w:rsidR="00FC31D4">
      <w:rPr>
        <w:noProof/>
      </w:rPr>
      <w:t>18</w:t>
    </w:r>
    <w:r>
      <w:fldChar w:fldCharType="end"/>
    </w:r>
  </w:p>
  <w:p w:rsidR="00462F6E" w:rsidRDefault="00462F6E">
    <w:pPr>
      <w:pStyle w:val="Footer"/>
      <w:tabs>
        <w:tab w:val="clear" w:pos="4320"/>
        <w:tab w:val="clear" w:pos="8640"/>
        <w:tab w:val="left" w:pos="11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E26" w:rsidRDefault="00B40E26">
      <w:r>
        <w:separator/>
      </w:r>
    </w:p>
  </w:footnote>
  <w:footnote w:type="continuationSeparator" w:id="0">
    <w:p w:rsidR="00B40E26" w:rsidRDefault="00B40E26">
      <w:r>
        <w:continuationSeparator/>
      </w:r>
    </w:p>
  </w:footnote>
  <w:footnote w:type="continuationNotice" w:id="1">
    <w:p w:rsidR="00B40E26" w:rsidRDefault="00B40E2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4204"/>
    <w:multiLevelType w:val="hybridMultilevel"/>
    <w:tmpl w:val="971A46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A486F35"/>
    <w:multiLevelType w:val="multilevel"/>
    <w:tmpl w:val="02224DA2"/>
    <w:lvl w:ilvl="0">
      <w:start w:val="1"/>
      <w:numFmt w:val="decimal"/>
      <w:lvlText w:val="%1."/>
      <w:lvlJc w:val="left"/>
      <w:pPr>
        <w:tabs>
          <w:tab w:val="num" w:pos="393"/>
        </w:tabs>
        <w:ind w:left="1113" w:hanging="1113"/>
      </w:pPr>
      <w:rPr>
        <w:rFonts w:ascii="Times New Roman" w:eastAsia="Times New Roman" w:hAnsi="Times New Roman" w:cs="Times New Roman"/>
        <w:position w:val="0"/>
      </w:rPr>
    </w:lvl>
    <w:lvl w:ilvl="1">
      <w:start w:val="1"/>
      <w:numFmt w:val="decimal"/>
      <w:lvlText w:val="%2."/>
      <w:lvlJc w:val="left"/>
      <w:pPr>
        <w:tabs>
          <w:tab w:val="num" w:pos="753"/>
        </w:tabs>
        <w:ind w:left="1473" w:hanging="1113"/>
      </w:pPr>
      <w:rPr>
        <w:rFonts w:ascii="Times New Roman" w:eastAsia="Times New Roman" w:hAnsi="Times New Roman" w:cs="Times New Roman"/>
        <w:position w:val="0"/>
      </w:rPr>
    </w:lvl>
    <w:lvl w:ilvl="2">
      <w:start w:val="1"/>
      <w:numFmt w:val="decimal"/>
      <w:lvlText w:val="%3."/>
      <w:lvlJc w:val="left"/>
      <w:pPr>
        <w:tabs>
          <w:tab w:val="num" w:pos="1113"/>
        </w:tabs>
        <w:ind w:left="1833" w:hanging="1113"/>
      </w:pPr>
      <w:rPr>
        <w:rFonts w:ascii="Times New Roman" w:eastAsia="Times New Roman" w:hAnsi="Times New Roman" w:cs="Times New Roman"/>
        <w:position w:val="0"/>
      </w:rPr>
    </w:lvl>
    <w:lvl w:ilvl="3">
      <w:start w:val="1"/>
      <w:numFmt w:val="decimal"/>
      <w:lvlText w:val="%4."/>
      <w:lvlJc w:val="left"/>
      <w:pPr>
        <w:tabs>
          <w:tab w:val="num" w:pos="1473"/>
        </w:tabs>
        <w:ind w:left="2193" w:hanging="1113"/>
      </w:pPr>
      <w:rPr>
        <w:rFonts w:ascii="Times New Roman" w:eastAsia="Times New Roman" w:hAnsi="Times New Roman" w:cs="Times New Roman"/>
        <w:position w:val="0"/>
      </w:rPr>
    </w:lvl>
    <w:lvl w:ilvl="4">
      <w:start w:val="1"/>
      <w:numFmt w:val="decimal"/>
      <w:lvlText w:val="%5."/>
      <w:lvlJc w:val="left"/>
      <w:pPr>
        <w:tabs>
          <w:tab w:val="num" w:pos="1833"/>
        </w:tabs>
        <w:ind w:left="2553" w:hanging="1113"/>
      </w:pPr>
      <w:rPr>
        <w:rFonts w:ascii="Times New Roman" w:eastAsia="Times New Roman" w:hAnsi="Times New Roman" w:cs="Times New Roman"/>
        <w:position w:val="0"/>
      </w:rPr>
    </w:lvl>
    <w:lvl w:ilvl="5">
      <w:start w:val="1"/>
      <w:numFmt w:val="decimal"/>
      <w:lvlText w:val="%6."/>
      <w:lvlJc w:val="left"/>
      <w:pPr>
        <w:tabs>
          <w:tab w:val="num" w:pos="2193"/>
        </w:tabs>
        <w:ind w:left="2913" w:hanging="1113"/>
      </w:pPr>
      <w:rPr>
        <w:rFonts w:ascii="Times New Roman" w:eastAsia="Times New Roman" w:hAnsi="Times New Roman" w:cs="Times New Roman"/>
        <w:position w:val="0"/>
      </w:rPr>
    </w:lvl>
    <w:lvl w:ilvl="6">
      <w:start w:val="1"/>
      <w:numFmt w:val="decimal"/>
      <w:lvlText w:val="%7."/>
      <w:lvlJc w:val="left"/>
      <w:pPr>
        <w:tabs>
          <w:tab w:val="num" w:pos="2553"/>
        </w:tabs>
        <w:ind w:left="3273" w:hanging="1113"/>
      </w:pPr>
      <w:rPr>
        <w:rFonts w:ascii="Times New Roman" w:eastAsia="Times New Roman" w:hAnsi="Times New Roman" w:cs="Times New Roman"/>
        <w:position w:val="0"/>
      </w:rPr>
    </w:lvl>
    <w:lvl w:ilvl="7">
      <w:start w:val="1"/>
      <w:numFmt w:val="decimal"/>
      <w:lvlText w:val="%8."/>
      <w:lvlJc w:val="left"/>
      <w:pPr>
        <w:tabs>
          <w:tab w:val="num" w:pos="2913"/>
        </w:tabs>
        <w:ind w:left="3633" w:hanging="1113"/>
      </w:pPr>
      <w:rPr>
        <w:rFonts w:ascii="Times New Roman" w:eastAsia="Times New Roman" w:hAnsi="Times New Roman" w:cs="Times New Roman"/>
        <w:position w:val="0"/>
      </w:rPr>
    </w:lvl>
    <w:lvl w:ilvl="8">
      <w:start w:val="1"/>
      <w:numFmt w:val="decimal"/>
      <w:lvlText w:val="%9."/>
      <w:lvlJc w:val="left"/>
      <w:pPr>
        <w:tabs>
          <w:tab w:val="num" w:pos="3273"/>
        </w:tabs>
        <w:ind w:left="3993" w:hanging="1113"/>
      </w:pPr>
      <w:rPr>
        <w:rFonts w:ascii="Times New Roman" w:eastAsia="Times New Roman" w:hAnsi="Times New Roman" w:cs="Times New Roman"/>
        <w:position w:val="0"/>
      </w:rPr>
    </w:lvl>
  </w:abstractNum>
  <w:abstractNum w:abstractNumId="2" w15:restartNumberingAfterBreak="0">
    <w:nsid w:val="5DA71575"/>
    <w:multiLevelType w:val="multilevel"/>
    <w:tmpl w:val="10A033F2"/>
    <w:styleLink w:val="Numbered"/>
    <w:lvl w:ilvl="0">
      <w:start w:val="1"/>
      <w:numFmt w:val="decimal"/>
      <w:lvlText w:val="%1."/>
      <w:lvlJc w:val="left"/>
      <w:pPr>
        <w:tabs>
          <w:tab w:val="num" w:pos="393"/>
        </w:tabs>
        <w:ind w:left="1113" w:hanging="1113"/>
      </w:pPr>
      <w:rPr>
        <w:rFonts w:ascii="Times New Roman" w:eastAsia="Times New Roman" w:hAnsi="Times New Roman" w:cs="Times New Roman"/>
        <w:position w:val="0"/>
      </w:rPr>
    </w:lvl>
    <w:lvl w:ilvl="1">
      <w:start w:val="1"/>
      <w:numFmt w:val="decimal"/>
      <w:lvlText w:val="%2."/>
      <w:lvlJc w:val="left"/>
      <w:pPr>
        <w:tabs>
          <w:tab w:val="num" w:pos="753"/>
        </w:tabs>
        <w:ind w:left="1473" w:hanging="1113"/>
      </w:pPr>
      <w:rPr>
        <w:rFonts w:ascii="Times New Roman" w:eastAsia="Times New Roman" w:hAnsi="Times New Roman" w:cs="Times New Roman"/>
        <w:position w:val="0"/>
      </w:rPr>
    </w:lvl>
    <w:lvl w:ilvl="2">
      <w:start w:val="1"/>
      <w:numFmt w:val="decimal"/>
      <w:lvlText w:val="%3."/>
      <w:lvlJc w:val="left"/>
      <w:pPr>
        <w:tabs>
          <w:tab w:val="num" w:pos="1113"/>
        </w:tabs>
        <w:ind w:left="1833" w:hanging="1113"/>
      </w:pPr>
      <w:rPr>
        <w:rFonts w:ascii="Times New Roman" w:eastAsia="Times New Roman" w:hAnsi="Times New Roman" w:cs="Times New Roman"/>
        <w:position w:val="0"/>
      </w:rPr>
    </w:lvl>
    <w:lvl w:ilvl="3">
      <w:start w:val="1"/>
      <w:numFmt w:val="decimal"/>
      <w:lvlText w:val="%4."/>
      <w:lvlJc w:val="left"/>
      <w:pPr>
        <w:tabs>
          <w:tab w:val="num" w:pos="1473"/>
        </w:tabs>
        <w:ind w:left="2193" w:hanging="1113"/>
      </w:pPr>
      <w:rPr>
        <w:rFonts w:ascii="Times New Roman" w:eastAsia="Times New Roman" w:hAnsi="Times New Roman" w:cs="Times New Roman"/>
        <w:position w:val="0"/>
      </w:rPr>
    </w:lvl>
    <w:lvl w:ilvl="4">
      <w:start w:val="1"/>
      <w:numFmt w:val="decimal"/>
      <w:lvlText w:val="%5."/>
      <w:lvlJc w:val="left"/>
      <w:pPr>
        <w:tabs>
          <w:tab w:val="num" w:pos="1833"/>
        </w:tabs>
        <w:ind w:left="2553" w:hanging="1113"/>
      </w:pPr>
      <w:rPr>
        <w:rFonts w:ascii="Times New Roman" w:eastAsia="Times New Roman" w:hAnsi="Times New Roman" w:cs="Times New Roman"/>
        <w:position w:val="0"/>
      </w:rPr>
    </w:lvl>
    <w:lvl w:ilvl="5">
      <w:start w:val="1"/>
      <w:numFmt w:val="decimal"/>
      <w:lvlText w:val="%6."/>
      <w:lvlJc w:val="left"/>
      <w:pPr>
        <w:tabs>
          <w:tab w:val="num" w:pos="2193"/>
        </w:tabs>
        <w:ind w:left="2913" w:hanging="1113"/>
      </w:pPr>
      <w:rPr>
        <w:rFonts w:ascii="Times New Roman" w:eastAsia="Times New Roman" w:hAnsi="Times New Roman" w:cs="Times New Roman"/>
        <w:position w:val="0"/>
      </w:rPr>
    </w:lvl>
    <w:lvl w:ilvl="6">
      <w:start w:val="1"/>
      <w:numFmt w:val="decimal"/>
      <w:lvlText w:val="%7."/>
      <w:lvlJc w:val="left"/>
      <w:pPr>
        <w:tabs>
          <w:tab w:val="num" w:pos="2553"/>
        </w:tabs>
        <w:ind w:left="3273" w:hanging="1113"/>
      </w:pPr>
      <w:rPr>
        <w:rFonts w:ascii="Times New Roman" w:eastAsia="Times New Roman" w:hAnsi="Times New Roman" w:cs="Times New Roman"/>
        <w:position w:val="0"/>
      </w:rPr>
    </w:lvl>
    <w:lvl w:ilvl="7">
      <w:start w:val="1"/>
      <w:numFmt w:val="decimal"/>
      <w:lvlText w:val="%8."/>
      <w:lvlJc w:val="left"/>
      <w:pPr>
        <w:tabs>
          <w:tab w:val="num" w:pos="2913"/>
        </w:tabs>
        <w:ind w:left="3633" w:hanging="1113"/>
      </w:pPr>
      <w:rPr>
        <w:rFonts w:ascii="Times New Roman" w:eastAsia="Times New Roman" w:hAnsi="Times New Roman" w:cs="Times New Roman"/>
        <w:position w:val="0"/>
      </w:rPr>
    </w:lvl>
    <w:lvl w:ilvl="8">
      <w:start w:val="1"/>
      <w:numFmt w:val="decimal"/>
      <w:lvlText w:val="%9."/>
      <w:lvlJc w:val="left"/>
      <w:pPr>
        <w:tabs>
          <w:tab w:val="num" w:pos="3273"/>
        </w:tabs>
        <w:ind w:left="3993" w:hanging="1113"/>
      </w:pPr>
      <w:rPr>
        <w:rFonts w:ascii="Times New Roman" w:eastAsia="Times New Roman" w:hAnsi="Times New Roman" w:cs="Times New Roman"/>
        <w:position w:val="0"/>
      </w:rPr>
    </w:lvl>
  </w:abstractNum>
  <w:num w:numId="1">
    <w:abstractNumId w:val="1"/>
  </w:num>
  <w:num w:numId="2">
    <w:abstractNumId w:val="2"/>
    <w:lvlOverride w:ilvl="0">
      <w:lvl w:ilvl="0">
        <w:start w:val="1"/>
        <w:numFmt w:val="decimal"/>
        <w:lvlText w:val="%1."/>
        <w:lvlJc w:val="left"/>
        <w:pPr>
          <w:tabs>
            <w:tab w:val="num" w:pos="393"/>
          </w:tabs>
          <w:ind w:left="1113" w:hanging="1113"/>
        </w:pPr>
        <w:rPr>
          <w:rFonts w:ascii="Times New Roman" w:eastAsia="Times New Roman" w:hAnsi="Times New Roman" w:cs="Times New Roman"/>
          <w:b w:val="0"/>
          <w:position w:val="0"/>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ZA" w:vendorID="64" w:dllVersion="131078" w:nlCheck="1" w:checkStyle="1"/>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65"/>
    <w:rsid w:val="0000344B"/>
    <w:rsid w:val="00022D55"/>
    <w:rsid w:val="0005545E"/>
    <w:rsid w:val="00056BD0"/>
    <w:rsid w:val="000713D2"/>
    <w:rsid w:val="000828DB"/>
    <w:rsid w:val="00083253"/>
    <w:rsid w:val="00090841"/>
    <w:rsid w:val="000A664B"/>
    <w:rsid w:val="000C47E4"/>
    <w:rsid w:val="000C4D94"/>
    <w:rsid w:val="000D2651"/>
    <w:rsid w:val="000F0474"/>
    <w:rsid w:val="001074D5"/>
    <w:rsid w:val="00122B6E"/>
    <w:rsid w:val="00125E79"/>
    <w:rsid w:val="00134236"/>
    <w:rsid w:val="00145C22"/>
    <w:rsid w:val="001637D3"/>
    <w:rsid w:val="00192235"/>
    <w:rsid w:val="00193D2D"/>
    <w:rsid w:val="00197C4E"/>
    <w:rsid w:val="001A7D70"/>
    <w:rsid w:val="00213C64"/>
    <w:rsid w:val="00221E58"/>
    <w:rsid w:val="002235EF"/>
    <w:rsid w:val="00224445"/>
    <w:rsid w:val="00237B06"/>
    <w:rsid w:val="0025112E"/>
    <w:rsid w:val="002608A4"/>
    <w:rsid w:val="0027491D"/>
    <w:rsid w:val="002826BC"/>
    <w:rsid w:val="00285483"/>
    <w:rsid w:val="00294015"/>
    <w:rsid w:val="002A654C"/>
    <w:rsid w:val="002A6A4B"/>
    <w:rsid w:val="002D6D96"/>
    <w:rsid w:val="002E32EB"/>
    <w:rsid w:val="00304B07"/>
    <w:rsid w:val="00306B32"/>
    <w:rsid w:val="003147C4"/>
    <w:rsid w:val="00332F21"/>
    <w:rsid w:val="00351A4F"/>
    <w:rsid w:val="003531F5"/>
    <w:rsid w:val="00362519"/>
    <w:rsid w:val="00380963"/>
    <w:rsid w:val="00380A77"/>
    <w:rsid w:val="003B3B48"/>
    <w:rsid w:val="003C7095"/>
    <w:rsid w:val="003E1A83"/>
    <w:rsid w:val="003E5160"/>
    <w:rsid w:val="00421ACB"/>
    <w:rsid w:val="00422E89"/>
    <w:rsid w:val="0043184F"/>
    <w:rsid w:val="00435EE2"/>
    <w:rsid w:val="0044397B"/>
    <w:rsid w:val="00445ADF"/>
    <w:rsid w:val="00462F6E"/>
    <w:rsid w:val="00475413"/>
    <w:rsid w:val="004866BD"/>
    <w:rsid w:val="004C6DF6"/>
    <w:rsid w:val="005017F3"/>
    <w:rsid w:val="005028A0"/>
    <w:rsid w:val="00514E7F"/>
    <w:rsid w:val="00525DC4"/>
    <w:rsid w:val="00534666"/>
    <w:rsid w:val="00540EAE"/>
    <w:rsid w:val="0054787C"/>
    <w:rsid w:val="00551CC7"/>
    <w:rsid w:val="00552526"/>
    <w:rsid w:val="00582159"/>
    <w:rsid w:val="005936B7"/>
    <w:rsid w:val="005D0856"/>
    <w:rsid w:val="005F71D7"/>
    <w:rsid w:val="00605817"/>
    <w:rsid w:val="0061079E"/>
    <w:rsid w:val="00614A16"/>
    <w:rsid w:val="00637448"/>
    <w:rsid w:val="006418A7"/>
    <w:rsid w:val="00647280"/>
    <w:rsid w:val="00674D39"/>
    <w:rsid w:val="00675A2D"/>
    <w:rsid w:val="006A50AC"/>
    <w:rsid w:val="006A5C5B"/>
    <w:rsid w:val="006C6236"/>
    <w:rsid w:val="006D590F"/>
    <w:rsid w:val="006F7091"/>
    <w:rsid w:val="00702CC0"/>
    <w:rsid w:val="007072C4"/>
    <w:rsid w:val="00710E83"/>
    <w:rsid w:val="007121B3"/>
    <w:rsid w:val="00712777"/>
    <w:rsid w:val="0075434A"/>
    <w:rsid w:val="0077486D"/>
    <w:rsid w:val="007818F0"/>
    <w:rsid w:val="007973DB"/>
    <w:rsid w:val="007C185F"/>
    <w:rsid w:val="007D22BF"/>
    <w:rsid w:val="007F3C76"/>
    <w:rsid w:val="007F59A2"/>
    <w:rsid w:val="008166B0"/>
    <w:rsid w:val="008272A8"/>
    <w:rsid w:val="008314AC"/>
    <w:rsid w:val="00832D4B"/>
    <w:rsid w:val="00846C89"/>
    <w:rsid w:val="00847A09"/>
    <w:rsid w:val="008704D2"/>
    <w:rsid w:val="00892CD2"/>
    <w:rsid w:val="00895917"/>
    <w:rsid w:val="008C1B9C"/>
    <w:rsid w:val="008C4F01"/>
    <w:rsid w:val="008E3E0F"/>
    <w:rsid w:val="00900741"/>
    <w:rsid w:val="009052E7"/>
    <w:rsid w:val="00950DB2"/>
    <w:rsid w:val="009565E7"/>
    <w:rsid w:val="00996609"/>
    <w:rsid w:val="009A333D"/>
    <w:rsid w:val="009C5A86"/>
    <w:rsid w:val="009E794B"/>
    <w:rsid w:val="009F6A08"/>
    <w:rsid w:val="00A071A8"/>
    <w:rsid w:val="00A13816"/>
    <w:rsid w:val="00A14441"/>
    <w:rsid w:val="00A53C47"/>
    <w:rsid w:val="00A60613"/>
    <w:rsid w:val="00A653F5"/>
    <w:rsid w:val="00A66303"/>
    <w:rsid w:val="00A72662"/>
    <w:rsid w:val="00A92C6E"/>
    <w:rsid w:val="00AA3808"/>
    <w:rsid w:val="00AB0676"/>
    <w:rsid w:val="00AB51D6"/>
    <w:rsid w:val="00AD3977"/>
    <w:rsid w:val="00AE0023"/>
    <w:rsid w:val="00AE6892"/>
    <w:rsid w:val="00AE7588"/>
    <w:rsid w:val="00B163A2"/>
    <w:rsid w:val="00B20373"/>
    <w:rsid w:val="00B36538"/>
    <w:rsid w:val="00B40E26"/>
    <w:rsid w:val="00B40F8C"/>
    <w:rsid w:val="00B46D66"/>
    <w:rsid w:val="00B7098C"/>
    <w:rsid w:val="00B81EF0"/>
    <w:rsid w:val="00BA7D66"/>
    <w:rsid w:val="00BB6243"/>
    <w:rsid w:val="00BB7E44"/>
    <w:rsid w:val="00BC0A83"/>
    <w:rsid w:val="00BC45CB"/>
    <w:rsid w:val="00BD6382"/>
    <w:rsid w:val="00BF64E3"/>
    <w:rsid w:val="00C27E16"/>
    <w:rsid w:val="00C427BC"/>
    <w:rsid w:val="00C448D2"/>
    <w:rsid w:val="00C50C4E"/>
    <w:rsid w:val="00C51430"/>
    <w:rsid w:val="00C77EB1"/>
    <w:rsid w:val="00C80FDE"/>
    <w:rsid w:val="00C84122"/>
    <w:rsid w:val="00CA1D0D"/>
    <w:rsid w:val="00CA1D7D"/>
    <w:rsid w:val="00CB1514"/>
    <w:rsid w:val="00CD361F"/>
    <w:rsid w:val="00CE6CBA"/>
    <w:rsid w:val="00D130BA"/>
    <w:rsid w:val="00D179B2"/>
    <w:rsid w:val="00D36116"/>
    <w:rsid w:val="00D426C6"/>
    <w:rsid w:val="00D5153A"/>
    <w:rsid w:val="00D844E7"/>
    <w:rsid w:val="00D91F65"/>
    <w:rsid w:val="00DB2092"/>
    <w:rsid w:val="00DB6576"/>
    <w:rsid w:val="00DD5E8F"/>
    <w:rsid w:val="00DE0E20"/>
    <w:rsid w:val="00DE1D3C"/>
    <w:rsid w:val="00DF1492"/>
    <w:rsid w:val="00E064A0"/>
    <w:rsid w:val="00E21D45"/>
    <w:rsid w:val="00E276CA"/>
    <w:rsid w:val="00E43110"/>
    <w:rsid w:val="00E644A7"/>
    <w:rsid w:val="00E719FB"/>
    <w:rsid w:val="00E76BFF"/>
    <w:rsid w:val="00E842CB"/>
    <w:rsid w:val="00EA090C"/>
    <w:rsid w:val="00ED2C1E"/>
    <w:rsid w:val="00ED70D7"/>
    <w:rsid w:val="00EF0F38"/>
    <w:rsid w:val="00EF34AD"/>
    <w:rsid w:val="00EF5E53"/>
    <w:rsid w:val="00EF6DB8"/>
    <w:rsid w:val="00F02E10"/>
    <w:rsid w:val="00F051E7"/>
    <w:rsid w:val="00F16074"/>
    <w:rsid w:val="00F61013"/>
    <w:rsid w:val="00F77A29"/>
    <w:rsid w:val="00FC31D4"/>
    <w:rsid w:val="00FC6FD1"/>
    <w:rsid w:val="00FD5753"/>
    <w:rsid w:val="00FF2B34"/>
    <w:rsid w:val="00FF75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F86DF5-D952-4654-A4CF-FA4869EB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3">
    <w:name w:val="heading 3"/>
    <w:next w:val="Body"/>
    <w:pPr>
      <w:keepNext/>
      <w:spacing w:before="240" w:after="60"/>
      <w:jc w:val="both"/>
      <w:outlineLvl w:val="2"/>
    </w:pPr>
    <w:rPr>
      <w:rFonts w:ascii="Book Antiqua" w:hAnsi="Arial Unicode MS" w:cs="Arial Unicode MS"/>
      <w:i/>
      <w:i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pPr>
      <w:tabs>
        <w:tab w:val="center" w:pos="4320"/>
        <w:tab w:val="right" w:pos="8640"/>
      </w:tabs>
      <w:jc w:val="both"/>
    </w:pPr>
    <w:rPr>
      <w:rFonts w:ascii="Book Antiqua" w:hAnsi="Arial Unicode MS" w:cs="Arial Unicode MS"/>
      <w:color w:val="000000"/>
      <w:sz w:val="24"/>
      <w:szCs w:val="24"/>
      <w:u w:color="000000"/>
    </w:rPr>
  </w:style>
  <w:style w:type="paragraph" w:customStyle="1" w:styleId="Body">
    <w:name w:val="Body"/>
    <w:pPr>
      <w:jc w:val="both"/>
    </w:pPr>
    <w:rPr>
      <w:rFonts w:ascii="Book Antiqua" w:hAnsi="Arial Unicode MS" w:cs="Arial Unicode MS"/>
      <w:color w:val="000000"/>
      <w:sz w:val="24"/>
      <w:szCs w:val="24"/>
      <w:u w:color="000000"/>
      <w:lang w:val="en-US"/>
    </w:rPr>
  </w:style>
  <w:style w:type="paragraph" w:customStyle="1" w:styleId="Default">
    <w:name w:val="Default"/>
    <w:rPr>
      <w:rFonts w:ascii="Helvetica" w:eastAsia="Helvetica" w:hAnsi="Helvetica" w:cs="Helvetica"/>
      <w:color w:val="000000"/>
      <w:sz w:val="22"/>
      <w:szCs w:val="22"/>
    </w:rPr>
  </w:style>
  <w:style w:type="paragraph" w:customStyle="1" w:styleId="NormalT">
    <w:name w:val="Normal T"/>
    <w:pPr>
      <w:jc w:val="both"/>
    </w:pPr>
    <w:rPr>
      <w:rFonts w:ascii="Book Antiqua" w:hAnsi="Arial Unicode MS" w:cs="Arial Unicode MS"/>
      <w:color w:val="000000"/>
      <w:sz w:val="24"/>
      <w:szCs w:val="24"/>
      <w:u w:color="000000"/>
      <w:lang w:val="en-US"/>
    </w:rPr>
  </w:style>
  <w:style w:type="paragraph" w:styleId="FootnoteText">
    <w:name w:val="footnote text"/>
    <w:pPr>
      <w:jc w:val="both"/>
    </w:pPr>
    <w:rPr>
      <w:rFonts w:ascii="Book Antiqua" w:eastAsia="Book Antiqua" w:hAnsi="Book Antiqua" w:cs="Book Antiqua"/>
      <w:color w:val="000000"/>
      <w:u w:color="000000"/>
    </w:rPr>
  </w:style>
  <w:style w:type="character" w:customStyle="1" w:styleId="Hyperlink0">
    <w:name w:val="Hyperlink.0"/>
    <w:basedOn w:val="Hyperlink"/>
    <w:rPr>
      <w:color w:val="0000FF"/>
      <w:u w:val="single" w:color="0000FF"/>
    </w:rPr>
  </w:style>
  <w:style w:type="paragraph" w:styleId="Quote">
    <w:name w:val="Quote"/>
    <w:pPr>
      <w:spacing w:before="100" w:after="100" w:line="360" w:lineRule="auto"/>
      <w:ind w:left="737" w:right="737"/>
      <w:jc w:val="both"/>
    </w:pPr>
    <w:rPr>
      <w:rFonts w:ascii="Arial" w:hAnsi="Arial Unicode MS" w:cs="Arial Unicode MS"/>
      <w:color w:val="000000"/>
      <w:u w:color="000000"/>
      <w:lang w:val="en-US"/>
    </w:rPr>
  </w:style>
  <w:style w:type="paragraph" w:customStyle="1" w:styleId="Masterscontent">
    <w:name w:val="Masters content"/>
    <w:pPr>
      <w:spacing w:line="360" w:lineRule="auto"/>
      <w:jc w:val="both"/>
    </w:pPr>
    <w:rPr>
      <w:rFonts w:ascii="Arial" w:hAnsi="Arial Unicode MS" w:cs="Arial Unicode MS"/>
      <w:color w:val="000000"/>
      <w:sz w:val="24"/>
      <w:szCs w:val="24"/>
      <w:u w:color="000000"/>
      <w:lang w:val="en-US"/>
    </w:rPr>
  </w:style>
  <w:style w:type="numbering" w:customStyle="1" w:styleId="Numbered">
    <w:name w:val="Numbered"/>
    <w:pPr>
      <w:numPr>
        <w:numId w:val="4"/>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34236"/>
    <w:rPr>
      <w:rFonts w:ascii="Tahoma" w:hAnsi="Tahoma" w:cs="Tahoma"/>
      <w:sz w:val="16"/>
      <w:szCs w:val="16"/>
    </w:rPr>
  </w:style>
  <w:style w:type="character" w:customStyle="1" w:styleId="BalloonTextChar">
    <w:name w:val="Balloon Text Char"/>
    <w:basedOn w:val="DefaultParagraphFont"/>
    <w:link w:val="BalloonText"/>
    <w:uiPriority w:val="99"/>
    <w:semiHidden/>
    <w:rsid w:val="00134236"/>
    <w:rPr>
      <w:rFonts w:ascii="Tahoma" w:hAnsi="Tahoma" w:cs="Tahoma"/>
      <w:sz w:val="16"/>
      <w:szCs w:val="16"/>
      <w:lang w:val="en-US" w:eastAsia="en-US"/>
    </w:rPr>
  </w:style>
  <w:style w:type="character" w:customStyle="1" w:styleId="FooterChar">
    <w:name w:val="Footer Char"/>
    <w:basedOn w:val="DefaultParagraphFont"/>
    <w:link w:val="Footer"/>
    <w:rsid w:val="00134236"/>
    <w:rPr>
      <w:rFonts w:ascii="Book Antiqua" w:hAnsi="Arial Unicode M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D179B2"/>
    <w:rPr>
      <w:b/>
      <w:bCs/>
    </w:rPr>
  </w:style>
  <w:style w:type="character" w:customStyle="1" w:styleId="CommentSubjectChar">
    <w:name w:val="Comment Subject Char"/>
    <w:basedOn w:val="CommentTextChar"/>
    <w:link w:val="CommentSubject"/>
    <w:uiPriority w:val="99"/>
    <w:semiHidden/>
    <w:rsid w:val="00D179B2"/>
    <w:rPr>
      <w:b/>
      <w:bCs/>
      <w:lang w:val="en-US" w:eastAsia="en-US"/>
    </w:rPr>
  </w:style>
  <w:style w:type="paragraph" w:styleId="Header">
    <w:name w:val="header"/>
    <w:basedOn w:val="Normal"/>
    <w:link w:val="HeaderChar"/>
    <w:uiPriority w:val="99"/>
    <w:unhideWhenUsed/>
    <w:rsid w:val="007D22BF"/>
    <w:pPr>
      <w:tabs>
        <w:tab w:val="center" w:pos="4513"/>
        <w:tab w:val="right" w:pos="9026"/>
      </w:tabs>
    </w:pPr>
  </w:style>
  <w:style w:type="character" w:customStyle="1" w:styleId="HeaderChar">
    <w:name w:val="Header Char"/>
    <w:basedOn w:val="DefaultParagraphFont"/>
    <w:link w:val="Header"/>
    <w:uiPriority w:val="99"/>
    <w:rsid w:val="007D22BF"/>
    <w:rPr>
      <w:sz w:val="24"/>
      <w:szCs w:val="24"/>
      <w:lang w:val="en-US" w:eastAsia="en-US"/>
    </w:rPr>
  </w:style>
  <w:style w:type="paragraph" w:styleId="NormalWeb">
    <w:name w:val="Normal (Web)"/>
    <w:basedOn w:val="Normal"/>
    <w:uiPriority w:val="99"/>
    <w:semiHidden/>
    <w:unhideWhenUsed/>
    <w:rsid w:val="00237B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eastAsia="en-ZA"/>
    </w:rPr>
  </w:style>
  <w:style w:type="character" w:styleId="Strong">
    <w:name w:val="Strong"/>
    <w:basedOn w:val="DefaultParagraphFont"/>
    <w:uiPriority w:val="22"/>
    <w:qFormat/>
    <w:rsid w:val="00237B06"/>
    <w:rPr>
      <w:b/>
      <w:bCs/>
    </w:rPr>
  </w:style>
  <w:style w:type="character" w:customStyle="1" w:styleId="apple-converted-space">
    <w:name w:val="apple-converted-space"/>
    <w:basedOn w:val="DefaultParagraphFont"/>
    <w:rsid w:val="00237B06"/>
  </w:style>
  <w:style w:type="character" w:styleId="Emphasis">
    <w:name w:val="Emphasis"/>
    <w:basedOn w:val="DefaultParagraphFont"/>
    <w:uiPriority w:val="20"/>
    <w:qFormat/>
    <w:rsid w:val="00237B06"/>
    <w:rPr>
      <w:i/>
      <w:iCs/>
    </w:rPr>
  </w:style>
  <w:style w:type="paragraph" w:styleId="Revision">
    <w:name w:val="Revision"/>
    <w:hidden/>
    <w:uiPriority w:val="99"/>
    <w:semiHidden/>
    <w:rsid w:val="003147C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164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socialresearchmethods.net/kb/genlin.php"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nsfas.org.za/NSFAS/ABOUT_US/MISSION_STAT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TES\Res\PBL%20c%20VS\Demographics\Follow-through%2007-1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TES\Res\PBL%20c%20VS\Demographics\Follow-through%2007-1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TES\Res\PBL%20c%20VS\Demographics\Follow-through%2007-1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TES\Res\PBL%20c%20VS\Demographics\Follow-through%2007-1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cuments\TES\Res\PBL%20c%20VS\Demographics\Follow-through%2007-1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ZA"/>
              <a:t>Assessment marks according to Race</a:t>
            </a:r>
          </a:p>
        </c:rich>
      </c:tx>
      <c:overlay val="0"/>
    </c:title>
    <c:autoTitleDeleted val="0"/>
    <c:plotArea>
      <c:layout>
        <c:manualLayout>
          <c:layoutTarget val="inner"/>
          <c:xMode val="edge"/>
          <c:yMode val="edge"/>
          <c:x val="8.7835739282589698E-2"/>
          <c:y val="0.19480351414406533"/>
          <c:w val="0.756900262467192"/>
          <c:h val="0.6640813648293965"/>
        </c:manualLayout>
      </c:layout>
      <c:lineChart>
        <c:grouping val="standard"/>
        <c:varyColors val="0"/>
        <c:ser>
          <c:idx val="0"/>
          <c:order val="0"/>
          <c:tx>
            <c:strRef>
              <c:f>'Graphs (2)'!$A$374</c:f>
              <c:strCache>
                <c:ptCount val="1"/>
                <c:pt idx="0">
                  <c:v>A</c:v>
                </c:pt>
              </c:strCache>
            </c:strRef>
          </c:tx>
          <c:spPr>
            <a:ln w="38100">
              <a:solidFill>
                <a:sysClr val="windowText" lastClr="000000"/>
              </a:solidFill>
            </a:ln>
          </c:spPr>
          <c:marker>
            <c:symbol val="none"/>
          </c:marker>
          <c:cat>
            <c:numRef>
              <c:f>'Graphs (2)'!$B$373:$AG$373</c:f>
              <c:numCache>
                <c:formatCode>General</c:formatCode>
                <c:ptCount val="32"/>
                <c:pt idx="0">
                  <c:v>1.1000000000000001</c:v>
                </c:pt>
                <c:pt idx="1">
                  <c:v>1.2</c:v>
                </c:pt>
                <c:pt idx="2">
                  <c:v>1.3</c:v>
                </c:pt>
                <c:pt idx="3">
                  <c:v>1.4</c:v>
                </c:pt>
                <c:pt idx="4">
                  <c:v>1.5</c:v>
                </c:pt>
                <c:pt idx="5">
                  <c:v>1.6</c:v>
                </c:pt>
                <c:pt idx="6">
                  <c:v>2.1</c:v>
                </c:pt>
                <c:pt idx="7">
                  <c:v>2.2000000000000002</c:v>
                </c:pt>
                <c:pt idx="8">
                  <c:v>2.2999999999999998</c:v>
                </c:pt>
                <c:pt idx="9">
                  <c:v>2.4</c:v>
                </c:pt>
                <c:pt idx="10">
                  <c:v>2.5</c:v>
                </c:pt>
                <c:pt idx="11">
                  <c:v>2.6</c:v>
                </c:pt>
                <c:pt idx="12">
                  <c:v>3.1</c:v>
                </c:pt>
                <c:pt idx="13">
                  <c:v>3.2</c:v>
                </c:pt>
                <c:pt idx="14">
                  <c:v>3.3</c:v>
                </c:pt>
                <c:pt idx="15">
                  <c:v>3.4</c:v>
                </c:pt>
                <c:pt idx="16">
                  <c:v>3.5</c:v>
                </c:pt>
                <c:pt idx="17">
                  <c:v>3.6</c:v>
                </c:pt>
                <c:pt idx="18">
                  <c:v>4.0999999999999996</c:v>
                </c:pt>
                <c:pt idx="19">
                  <c:v>4.2</c:v>
                </c:pt>
                <c:pt idx="20">
                  <c:v>4.3</c:v>
                </c:pt>
                <c:pt idx="21">
                  <c:v>4.4000000000000004</c:v>
                </c:pt>
                <c:pt idx="22">
                  <c:v>4.5</c:v>
                </c:pt>
                <c:pt idx="23">
                  <c:v>4.5999999999999996</c:v>
                </c:pt>
                <c:pt idx="24">
                  <c:v>4.7</c:v>
                </c:pt>
                <c:pt idx="25">
                  <c:v>4.8</c:v>
                </c:pt>
                <c:pt idx="26">
                  <c:v>5.0999999999999996</c:v>
                </c:pt>
                <c:pt idx="27">
                  <c:v>5.2</c:v>
                </c:pt>
                <c:pt idx="28">
                  <c:v>5.3</c:v>
                </c:pt>
                <c:pt idx="29">
                  <c:v>5.4</c:v>
                </c:pt>
                <c:pt idx="30">
                  <c:v>5.5</c:v>
                </c:pt>
                <c:pt idx="31">
                  <c:v>5.6</c:v>
                </c:pt>
              </c:numCache>
            </c:numRef>
          </c:cat>
          <c:val>
            <c:numRef>
              <c:f>'Graphs (2)'!$B$374:$AG$374</c:f>
              <c:numCache>
                <c:formatCode>General</c:formatCode>
                <c:ptCount val="32"/>
                <c:pt idx="0">
                  <c:v>59.701886792452846</c:v>
                </c:pt>
                <c:pt idx="1">
                  <c:v>57.399056603773595</c:v>
                </c:pt>
                <c:pt idx="2">
                  <c:v>61.921698113207547</c:v>
                </c:pt>
                <c:pt idx="3">
                  <c:v>65.787499999999994</c:v>
                </c:pt>
                <c:pt idx="4">
                  <c:v>63.881250000000016</c:v>
                </c:pt>
                <c:pt idx="5">
                  <c:v>61.604464285714336</c:v>
                </c:pt>
                <c:pt idx="6">
                  <c:v>56.866037735849076</c:v>
                </c:pt>
                <c:pt idx="7">
                  <c:v>63.658490566037756</c:v>
                </c:pt>
                <c:pt idx="8">
                  <c:v>61.208490566037746</c:v>
                </c:pt>
                <c:pt idx="9">
                  <c:v>53.178095238095224</c:v>
                </c:pt>
                <c:pt idx="10">
                  <c:v>58.770192307692326</c:v>
                </c:pt>
                <c:pt idx="11">
                  <c:v>59.759615384615387</c:v>
                </c:pt>
                <c:pt idx="12">
                  <c:v>56.198058252427188</c:v>
                </c:pt>
                <c:pt idx="13">
                  <c:v>54.592233009708735</c:v>
                </c:pt>
                <c:pt idx="14">
                  <c:v>58.740196078431374</c:v>
                </c:pt>
                <c:pt idx="15">
                  <c:v>58.243298969072185</c:v>
                </c:pt>
                <c:pt idx="16">
                  <c:v>58.397938144329899</c:v>
                </c:pt>
                <c:pt idx="17">
                  <c:v>60.687628865979349</c:v>
                </c:pt>
                <c:pt idx="18">
                  <c:v>60.989999999999988</c:v>
                </c:pt>
                <c:pt idx="19">
                  <c:v>60.827160493827158</c:v>
                </c:pt>
                <c:pt idx="20">
                  <c:v>57.249382716049389</c:v>
                </c:pt>
                <c:pt idx="21">
                  <c:v>70.741975308641997</c:v>
                </c:pt>
                <c:pt idx="22">
                  <c:v>63.294999999999995</c:v>
                </c:pt>
                <c:pt idx="23">
                  <c:v>61.111111111111114</c:v>
                </c:pt>
                <c:pt idx="24">
                  <c:v>62.271604938271579</c:v>
                </c:pt>
                <c:pt idx="25">
                  <c:v>60.262500000000003</c:v>
                </c:pt>
                <c:pt idx="26">
                  <c:v>65.957142857142856</c:v>
                </c:pt>
                <c:pt idx="27">
                  <c:v>64.428571428571431</c:v>
                </c:pt>
                <c:pt idx="28">
                  <c:v>66.159420289855078</c:v>
                </c:pt>
                <c:pt idx="29">
                  <c:v>63.142857142857146</c:v>
                </c:pt>
                <c:pt idx="30">
                  <c:v>61.828571428571429</c:v>
                </c:pt>
                <c:pt idx="31">
                  <c:v>59.871428571428574</c:v>
                </c:pt>
              </c:numCache>
            </c:numRef>
          </c:val>
          <c:smooth val="0"/>
          <c:extLst>
            <c:ext xmlns:c16="http://schemas.microsoft.com/office/drawing/2014/chart" uri="{C3380CC4-5D6E-409C-BE32-E72D297353CC}">
              <c16:uniqueId val="{00000000-55DE-47E0-86BF-CC646D304A9F}"/>
            </c:ext>
          </c:extLst>
        </c:ser>
        <c:ser>
          <c:idx val="1"/>
          <c:order val="1"/>
          <c:tx>
            <c:strRef>
              <c:f>'Graphs (2)'!$A$375</c:f>
              <c:strCache>
                <c:ptCount val="1"/>
                <c:pt idx="0">
                  <c:v>C</c:v>
                </c:pt>
              </c:strCache>
            </c:strRef>
          </c:tx>
          <c:spPr>
            <a:ln w="38100">
              <a:solidFill>
                <a:srgbClr val="0070C0"/>
              </a:solidFill>
              <a:prstDash val="solid"/>
            </a:ln>
          </c:spPr>
          <c:marker>
            <c:symbol val="none"/>
          </c:marker>
          <c:cat>
            <c:numRef>
              <c:f>'Graphs (2)'!$B$373:$AG$373</c:f>
              <c:numCache>
                <c:formatCode>General</c:formatCode>
                <c:ptCount val="32"/>
                <c:pt idx="0">
                  <c:v>1.1000000000000001</c:v>
                </c:pt>
                <c:pt idx="1">
                  <c:v>1.2</c:v>
                </c:pt>
                <c:pt idx="2">
                  <c:v>1.3</c:v>
                </c:pt>
                <c:pt idx="3">
                  <c:v>1.4</c:v>
                </c:pt>
                <c:pt idx="4">
                  <c:v>1.5</c:v>
                </c:pt>
                <c:pt idx="5">
                  <c:v>1.6</c:v>
                </c:pt>
                <c:pt idx="6">
                  <c:v>2.1</c:v>
                </c:pt>
                <c:pt idx="7">
                  <c:v>2.2000000000000002</c:v>
                </c:pt>
                <c:pt idx="8">
                  <c:v>2.2999999999999998</c:v>
                </c:pt>
                <c:pt idx="9">
                  <c:v>2.4</c:v>
                </c:pt>
                <c:pt idx="10">
                  <c:v>2.5</c:v>
                </c:pt>
                <c:pt idx="11">
                  <c:v>2.6</c:v>
                </c:pt>
                <c:pt idx="12">
                  <c:v>3.1</c:v>
                </c:pt>
                <c:pt idx="13">
                  <c:v>3.2</c:v>
                </c:pt>
                <c:pt idx="14">
                  <c:v>3.3</c:v>
                </c:pt>
                <c:pt idx="15">
                  <c:v>3.4</c:v>
                </c:pt>
                <c:pt idx="16">
                  <c:v>3.5</c:v>
                </c:pt>
                <c:pt idx="17">
                  <c:v>3.6</c:v>
                </c:pt>
                <c:pt idx="18">
                  <c:v>4.0999999999999996</c:v>
                </c:pt>
                <c:pt idx="19">
                  <c:v>4.2</c:v>
                </c:pt>
                <c:pt idx="20">
                  <c:v>4.3</c:v>
                </c:pt>
                <c:pt idx="21">
                  <c:v>4.4000000000000004</c:v>
                </c:pt>
                <c:pt idx="22">
                  <c:v>4.5</c:v>
                </c:pt>
                <c:pt idx="23">
                  <c:v>4.5999999999999996</c:v>
                </c:pt>
                <c:pt idx="24">
                  <c:v>4.7</c:v>
                </c:pt>
                <c:pt idx="25">
                  <c:v>4.8</c:v>
                </c:pt>
                <c:pt idx="26">
                  <c:v>5.0999999999999996</c:v>
                </c:pt>
                <c:pt idx="27">
                  <c:v>5.2</c:v>
                </c:pt>
                <c:pt idx="28">
                  <c:v>5.3</c:v>
                </c:pt>
                <c:pt idx="29">
                  <c:v>5.4</c:v>
                </c:pt>
                <c:pt idx="30">
                  <c:v>5.5</c:v>
                </c:pt>
                <c:pt idx="31">
                  <c:v>5.6</c:v>
                </c:pt>
              </c:numCache>
            </c:numRef>
          </c:cat>
          <c:val>
            <c:numRef>
              <c:f>'Graphs (2)'!$B$375:$AG$375</c:f>
              <c:numCache>
                <c:formatCode>General</c:formatCode>
                <c:ptCount val="32"/>
                <c:pt idx="0">
                  <c:v>61.166666666666664</c:v>
                </c:pt>
                <c:pt idx="1">
                  <c:v>54.266666666666666</c:v>
                </c:pt>
                <c:pt idx="2">
                  <c:v>58.844444444444449</c:v>
                </c:pt>
                <c:pt idx="3">
                  <c:v>63.388888888888886</c:v>
                </c:pt>
                <c:pt idx="4">
                  <c:v>66.3</c:v>
                </c:pt>
                <c:pt idx="5">
                  <c:v>61.244444444444447</c:v>
                </c:pt>
                <c:pt idx="6">
                  <c:v>57.177777777777777</c:v>
                </c:pt>
                <c:pt idx="7">
                  <c:v>63.266666666666666</c:v>
                </c:pt>
                <c:pt idx="8">
                  <c:v>60.788888888888891</c:v>
                </c:pt>
                <c:pt idx="9">
                  <c:v>54.277777777777779</c:v>
                </c:pt>
                <c:pt idx="10">
                  <c:v>61.777777777777793</c:v>
                </c:pt>
                <c:pt idx="11">
                  <c:v>62.888888888888886</c:v>
                </c:pt>
                <c:pt idx="12">
                  <c:v>56.666666666666657</c:v>
                </c:pt>
                <c:pt idx="13">
                  <c:v>58.177777777777777</c:v>
                </c:pt>
                <c:pt idx="14">
                  <c:v>66.644444444444446</c:v>
                </c:pt>
                <c:pt idx="15">
                  <c:v>61.477777777777789</c:v>
                </c:pt>
                <c:pt idx="16">
                  <c:v>63.288888888888877</c:v>
                </c:pt>
                <c:pt idx="17">
                  <c:v>64.26666666666668</c:v>
                </c:pt>
                <c:pt idx="18">
                  <c:v>67.000000000000014</c:v>
                </c:pt>
                <c:pt idx="19">
                  <c:v>64</c:v>
                </c:pt>
                <c:pt idx="20">
                  <c:v>67.514285714285705</c:v>
                </c:pt>
                <c:pt idx="21">
                  <c:v>77.285714285714306</c:v>
                </c:pt>
                <c:pt idx="22">
                  <c:v>65</c:v>
                </c:pt>
                <c:pt idx="23">
                  <c:v>63</c:v>
                </c:pt>
                <c:pt idx="24">
                  <c:v>61.914285714285711</c:v>
                </c:pt>
                <c:pt idx="25">
                  <c:v>65.285714285714292</c:v>
                </c:pt>
                <c:pt idx="26">
                  <c:v>65.5</c:v>
                </c:pt>
                <c:pt idx="27">
                  <c:v>66</c:v>
                </c:pt>
                <c:pt idx="28">
                  <c:v>69.833333333333329</c:v>
                </c:pt>
                <c:pt idx="29">
                  <c:v>64.166666666666671</c:v>
                </c:pt>
                <c:pt idx="30">
                  <c:v>62.833333333333336</c:v>
                </c:pt>
                <c:pt idx="31">
                  <c:v>64.833333333333329</c:v>
                </c:pt>
              </c:numCache>
            </c:numRef>
          </c:val>
          <c:smooth val="0"/>
          <c:extLst>
            <c:ext xmlns:c16="http://schemas.microsoft.com/office/drawing/2014/chart" uri="{C3380CC4-5D6E-409C-BE32-E72D297353CC}">
              <c16:uniqueId val="{00000001-55DE-47E0-86BF-CC646D304A9F}"/>
            </c:ext>
          </c:extLst>
        </c:ser>
        <c:ser>
          <c:idx val="2"/>
          <c:order val="2"/>
          <c:tx>
            <c:strRef>
              <c:f>'Graphs (2)'!$A$376</c:f>
              <c:strCache>
                <c:ptCount val="1"/>
                <c:pt idx="0">
                  <c:v>I</c:v>
                </c:pt>
              </c:strCache>
            </c:strRef>
          </c:tx>
          <c:spPr>
            <a:ln w="38100">
              <a:solidFill>
                <a:srgbClr val="00B050"/>
              </a:solidFill>
              <a:prstDash val="solid"/>
            </a:ln>
          </c:spPr>
          <c:marker>
            <c:symbol val="none"/>
          </c:marker>
          <c:cat>
            <c:numRef>
              <c:f>'Graphs (2)'!$B$373:$AG$373</c:f>
              <c:numCache>
                <c:formatCode>General</c:formatCode>
                <c:ptCount val="32"/>
                <c:pt idx="0">
                  <c:v>1.1000000000000001</c:v>
                </c:pt>
                <c:pt idx="1">
                  <c:v>1.2</c:v>
                </c:pt>
                <c:pt idx="2">
                  <c:v>1.3</c:v>
                </c:pt>
                <c:pt idx="3">
                  <c:v>1.4</c:v>
                </c:pt>
                <c:pt idx="4">
                  <c:v>1.5</c:v>
                </c:pt>
                <c:pt idx="5">
                  <c:v>1.6</c:v>
                </c:pt>
                <c:pt idx="6">
                  <c:v>2.1</c:v>
                </c:pt>
                <c:pt idx="7">
                  <c:v>2.2000000000000002</c:v>
                </c:pt>
                <c:pt idx="8">
                  <c:v>2.2999999999999998</c:v>
                </c:pt>
                <c:pt idx="9">
                  <c:v>2.4</c:v>
                </c:pt>
                <c:pt idx="10">
                  <c:v>2.5</c:v>
                </c:pt>
                <c:pt idx="11">
                  <c:v>2.6</c:v>
                </c:pt>
                <c:pt idx="12">
                  <c:v>3.1</c:v>
                </c:pt>
                <c:pt idx="13">
                  <c:v>3.2</c:v>
                </c:pt>
                <c:pt idx="14">
                  <c:v>3.3</c:v>
                </c:pt>
                <c:pt idx="15">
                  <c:v>3.4</c:v>
                </c:pt>
                <c:pt idx="16">
                  <c:v>3.5</c:v>
                </c:pt>
                <c:pt idx="17">
                  <c:v>3.6</c:v>
                </c:pt>
                <c:pt idx="18">
                  <c:v>4.0999999999999996</c:v>
                </c:pt>
                <c:pt idx="19">
                  <c:v>4.2</c:v>
                </c:pt>
                <c:pt idx="20">
                  <c:v>4.3</c:v>
                </c:pt>
                <c:pt idx="21">
                  <c:v>4.4000000000000004</c:v>
                </c:pt>
                <c:pt idx="22">
                  <c:v>4.5</c:v>
                </c:pt>
                <c:pt idx="23">
                  <c:v>4.5999999999999996</c:v>
                </c:pt>
                <c:pt idx="24">
                  <c:v>4.7</c:v>
                </c:pt>
                <c:pt idx="25">
                  <c:v>4.8</c:v>
                </c:pt>
                <c:pt idx="26">
                  <c:v>5.0999999999999996</c:v>
                </c:pt>
                <c:pt idx="27">
                  <c:v>5.2</c:v>
                </c:pt>
                <c:pt idx="28">
                  <c:v>5.3</c:v>
                </c:pt>
                <c:pt idx="29">
                  <c:v>5.4</c:v>
                </c:pt>
                <c:pt idx="30">
                  <c:v>5.5</c:v>
                </c:pt>
                <c:pt idx="31">
                  <c:v>5.6</c:v>
                </c:pt>
              </c:numCache>
            </c:numRef>
          </c:cat>
          <c:val>
            <c:numRef>
              <c:f>'Graphs (2)'!$B$376:$AG$376</c:f>
              <c:numCache>
                <c:formatCode>General</c:formatCode>
                <c:ptCount val="32"/>
                <c:pt idx="0">
                  <c:v>66.09</c:v>
                </c:pt>
                <c:pt idx="1">
                  <c:v>64.311428571428564</c:v>
                </c:pt>
                <c:pt idx="2">
                  <c:v>67.381428571428572</c:v>
                </c:pt>
                <c:pt idx="3">
                  <c:v>69.218571428571451</c:v>
                </c:pt>
                <c:pt idx="4">
                  <c:v>69.572857142857131</c:v>
                </c:pt>
                <c:pt idx="5">
                  <c:v>66.511428571428567</c:v>
                </c:pt>
                <c:pt idx="6">
                  <c:v>63.260869565217391</c:v>
                </c:pt>
                <c:pt idx="7">
                  <c:v>67.962318840579726</c:v>
                </c:pt>
                <c:pt idx="8">
                  <c:v>63.723188405797124</c:v>
                </c:pt>
                <c:pt idx="9">
                  <c:v>56.38985507246376</c:v>
                </c:pt>
                <c:pt idx="10">
                  <c:v>66.017391304347825</c:v>
                </c:pt>
                <c:pt idx="11">
                  <c:v>67.376811594202906</c:v>
                </c:pt>
                <c:pt idx="12">
                  <c:v>64.692647058823539</c:v>
                </c:pt>
                <c:pt idx="13">
                  <c:v>62.119117647058829</c:v>
                </c:pt>
                <c:pt idx="14">
                  <c:v>70.107462686567175</c:v>
                </c:pt>
                <c:pt idx="15">
                  <c:v>65.850000000000009</c:v>
                </c:pt>
                <c:pt idx="16">
                  <c:v>67.459090909090889</c:v>
                </c:pt>
                <c:pt idx="17">
                  <c:v>69.839393939393929</c:v>
                </c:pt>
                <c:pt idx="18">
                  <c:v>67.022950819672118</c:v>
                </c:pt>
                <c:pt idx="19">
                  <c:v>64.606557377049185</c:v>
                </c:pt>
                <c:pt idx="20">
                  <c:v>66.670491803278679</c:v>
                </c:pt>
                <c:pt idx="21">
                  <c:v>76.570491803278728</c:v>
                </c:pt>
                <c:pt idx="22">
                  <c:v>67.311475409836078</c:v>
                </c:pt>
                <c:pt idx="23">
                  <c:v>66.26229508196721</c:v>
                </c:pt>
                <c:pt idx="24">
                  <c:v>68.777049180327879</c:v>
                </c:pt>
                <c:pt idx="25">
                  <c:v>69.131147540983605</c:v>
                </c:pt>
                <c:pt idx="26">
                  <c:v>69.349999999999994</c:v>
                </c:pt>
                <c:pt idx="27">
                  <c:v>70.166666666666671</c:v>
                </c:pt>
                <c:pt idx="28">
                  <c:v>73.083333333333329</c:v>
                </c:pt>
                <c:pt idx="29">
                  <c:v>66.283333333333331</c:v>
                </c:pt>
                <c:pt idx="30">
                  <c:v>66.400000000000006</c:v>
                </c:pt>
                <c:pt idx="31">
                  <c:v>67.716666666666669</c:v>
                </c:pt>
              </c:numCache>
            </c:numRef>
          </c:val>
          <c:smooth val="0"/>
          <c:extLst>
            <c:ext xmlns:c16="http://schemas.microsoft.com/office/drawing/2014/chart" uri="{C3380CC4-5D6E-409C-BE32-E72D297353CC}">
              <c16:uniqueId val="{00000002-55DE-47E0-86BF-CC646D304A9F}"/>
            </c:ext>
          </c:extLst>
        </c:ser>
        <c:ser>
          <c:idx val="3"/>
          <c:order val="3"/>
          <c:tx>
            <c:strRef>
              <c:f>'Graphs (2)'!$A$377</c:f>
              <c:strCache>
                <c:ptCount val="1"/>
                <c:pt idx="0">
                  <c:v>W</c:v>
                </c:pt>
              </c:strCache>
            </c:strRef>
          </c:tx>
          <c:spPr>
            <a:ln w="38100">
              <a:solidFill>
                <a:srgbClr val="FF0000"/>
              </a:solidFill>
              <a:prstDash val="solid"/>
            </a:ln>
          </c:spPr>
          <c:marker>
            <c:symbol val="none"/>
          </c:marker>
          <c:cat>
            <c:numRef>
              <c:f>'Graphs (2)'!$B$373:$AG$373</c:f>
              <c:numCache>
                <c:formatCode>General</c:formatCode>
                <c:ptCount val="32"/>
                <c:pt idx="0">
                  <c:v>1.1000000000000001</c:v>
                </c:pt>
                <c:pt idx="1">
                  <c:v>1.2</c:v>
                </c:pt>
                <c:pt idx="2">
                  <c:v>1.3</c:v>
                </c:pt>
                <c:pt idx="3">
                  <c:v>1.4</c:v>
                </c:pt>
                <c:pt idx="4">
                  <c:v>1.5</c:v>
                </c:pt>
                <c:pt idx="5">
                  <c:v>1.6</c:v>
                </c:pt>
                <c:pt idx="6">
                  <c:v>2.1</c:v>
                </c:pt>
                <c:pt idx="7">
                  <c:v>2.2000000000000002</c:v>
                </c:pt>
                <c:pt idx="8">
                  <c:v>2.2999999999999998</c:v>
                </c:pt>
                <c:pt idx="9">
                  <c:v>2.4</c:v>
                </c:pt>
                <c:pt idx="10">
                  <c:v>2.5</c:v>
                </c:pt>
                <c:pt idx="11">
                  <c:v>2.6</c:v>
                </c:pt>
                <c:pt idx="12">
                  <c:v>3.1</c:v>
                </c:pt>
                <c:pt idx="13">
                  <c:v>3.2</c:v>
                </c:pt>
                <c:pt idx="14">
                  <c:v>3.3</c:v>
                </c:pt>
                <c:pt idx="15">
                  <c:v>3.4</c:v>
                </c:pt>
                <c:pt idx="16">
                  <c:v>3.5</c:v>
                </c:pt>
                <c:pt idx="17">
                  <c:v>3.6</c:v>
                </c:pt>
                <c:pt idx="18">
                  <c:v>4.0999999999999996</c:v>
                </c:pt>
                <c:pt idx="19">
                  <c:v>4.2</c:v>
                </c:pt>
                <c:pt idx="20">
                  <c:v>4.3</c:v>
                </c:pt>
                <c:pt idx="21">
                  <c:v>4.4000000000000004</c:v>
                </c:pt>
                <c:pt idx="22">
                  <c:v>4.5</c:v>
                </c:pt>
                <c:pt idx="23">
                  <c:v>4.5999999999999996</c:v>
                </c:pt>
                <c:pt idx="24">
                  <c:v>4.7</c:v>
                </c:pt>
                <c:pt idx="25">
                  <c:v>4.8</c:v>
                </c:pt>
                <c:pt idx="26">
                  <c:v>5.0999999999999996</c:v>
                </c:pt>
                <c:pt idx="27">
                  <c:v>5.2</c:v>
                </c:pt>
                <c:pt idx="28">
                  <c:v>5.3</c:v>
                </c:pt>
                <c:pt idx="29">
                  <c:v>5.4</c:v>
                </c:pt>
                <c:pt idx="30">
                  <c:v>5.5</c:v>
                </c:pt>
                <c:pt idx="31">
                  <c:v>5.6</c:v>
                </c:pt>
              </c:numCache>
            </c:numRef>
          </c:cat>
          <c:val>
            <c:numRef>
              <c:f>'Graphs (2)'!$B$377:$AG$377</c:f>
              <c:numCache>
                <c:formatCode>General</c:formatCode>
                <c:ptCount val="32"/>
                <c:pt idx="0">
                  <c:v>69.954545454545453</c:v>
                </c:pt>
                <c:pt idx="1">
                  <c:v>64.74545454545455</c:v>
                </c:pt>
                <c:pt idx="2">
                  <c:v>67.609090909090924</c:v>
                </c:pt>
                <c:pt idx="3">
                  <c:v>71.24545454545455</c:v>
                </c:pt>
                <c:pt idx="4">
                  <c:v>69.654545454545442</c:v>
                </c:pt>
                <c:pt idx="5">
                  <c:v>66.445454545454538</c:v>
                </c:pt>
                <c:pt idx="6">
                  <c:v>65</c:v>
                </c:pt>
                <c:pt idx="7">
                  <c:v>68.77000000000001</c:v>
                </c:pt>
                <c:pt idx="8">
                  <c:v>68.97999999999999</c:v>
                </c:pt>
                <c:pt idx="9">
                  <c:v>57.109999999999992</c:v>
                </c:pt>
                <c:pt idx="10">
                  <c:v>66.03</c:v>
                </c:pt>
                <c:pt idx="11">
                  <c:v>64.599999999999994</c:v>
                </c:pt>
                <c:pt idx="12">
                  <c:v>62.69</c:v>
                </c:pt>
                <c:pt idx="13">
                  <c:v>58.079999999999984</c:v>
                </c:pt>
                <c:pt idx="14">
                  <c:v>65.63</c:v>
                </c:pt>
                <c:pt idx="15">
                  <c:v>64.709999999999994</c:v>
                </c:pt>
                <c:pt idx="16">
                  <c:v>68.930000000000007</c:v>
                </c:pt>
                <c:pt idx="17">
                  <c:v>70.19</c:v>
                </c:pt>
                <c:pt idx="18">
                  <c:v>66.960000000000008</c:v>
                </c:pt>
                <c:pt idx="19">
                  <c:v>66</c:v>
                </c:pt>
                <c:pt idx="20">
                  <c:v>65.740000000000009</c:v>
                </c:pt>
                <c:pt idx="21">
                  <c:v>78</c:v>
                </c:pt>
                <c:pt idx="22">
                  <c:v>64.759999999999991</c:v>
                </c:pt>
                <c:pt idx="23">
                  <c:v>64.900000000000006</c:v>
                </c:pt>
                <c:pt idx="24">
                  <c:v>66.000000000000014</c:v>
                </c:pt>
                <c:pt idx="25">
                  <c:v>67.5</c:v>
                </c:pt>
                <c:pt idx="26">
                  <c:v>67.5</c:v>
                </c:pt>
                <c:pt idx="27">
                  <c:v>67.7</c:v>
                </c:pt>
                <c:pt idx="28">
                  <c:v>67.5</c:v>
                </c:pt>
                <c:pt idx="29">
                  <c:v>64.3</c:v>
                </c:pt>
                <c:pt idx="30">
                  <c:v>65.7</c:v>
                </c:pt>
                <c:pt idx="31">
                  <c:v>65.3</c:v>
                </c:pt>
              </c:numCache>
            </c:numRef>
          </c:val>
          <c:smooth val="0"/>
          <c:extLst>
            <c:ext xmlns:c16="http://schemas.microsoft.com/office/drawing/2014/chart" uri="{C3380CC4-5D6E-409C-BE32-E72D297353CC}">
              <c16:uniqueId val="{00000003-55DE-47E0-86BF-CC646D304A9F}"/>
            </c:ext>
          </c:extLst>
        </c:ser>
        <c:dLbls>
          <c:showLegendKey val="0"/>
          <c:showVal val="0"/>
          <c:showCatName val="0"/>
          <c:showSerName val="0"/>
          <c:showPercent val="0"/>
          <c:showBubbleSize val="0"/>
        </c:dLbls>
        <c:smooth val="0"/>
        <c:axId val="557507912"/>
        <c:axId val="557506344"/>
      </c:lineChart>
      <c:catAx>
        <c:axId val="557507912"/>
        <c:scaling>
          <c:orientation val="minMax"/>
        </c:scaling>
        <c:delete val="0"/>
        <c:axPos val="b"/>
        <c:title>
          <c:tx>
            <c:rich>
              <a:bodyPr/>
              <a:lstStyle/>
              <a:p>
                <a:pPr>
                  <a:defRPr/>
                </a:pPr>
                <a:r>
                  <a:rPr lang="en-ZA"/>
                  <a:t>Tests over 5 years</a:t>
                </a:r>
              </a:p>
            </c:rich>
          </c:tx>
          <c:overlay val="0"/>
        </c:title>
        <c:numFmt formatCode="General" sourceLinked="1"/>
        <c:majorTickMark val="none"/>
        <c:minorTickMark val="none"/>
        <c:tickLblPos val="nextTo"/>
        <c:crossAx val="557506344"/>
        <c:crosses val="autoZero"/>
        <c:auto val="1"/>
        <c:lblAlgn val="ctr"/>
        <c:lblOffset val="100"/>
        <c:noMultiLvlLbl val="0"/>
      </c:catAx>
      <c:valAx>
        <c:axId val="557506344"/>
        <c:scaling>
          <c:orientation val="minMax"/>
          <c:max val="80"/>
          <c:min val="50"/>
        </c:scaling>
        <c:delete val="0"/>
        <c:axPos val="l"/>
        <c:majorGridlines/>
        <c:title>
          <c:tx>
            <c:rich>
              <a:bodyPr/>
              <a:lstStyle/>
              <a:p>
                <a:pPr>
                  <a:defRPr/>
                </a:pPr>
                <a:r>
                  <a:rPr lang="en-ZA"/>
                  <a:t>Mean group marks</a:t>
                </a:r>
              </a:p>
            </c:rich>
          </c:tx>
          <c:overlay val="0"/>
        </c:title>
        <c:numFmt formatCode="General" sourceLinked="1"/>
        <c:majorTickMark val="none"/>
        <c:minorTickMark val="none"/>
        <c:tickLblPos val="nextTo"/>
        <c:crossAx val="5575079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ZA"/>
              <a:t>Assessment marks according to Language</a:t>
            </a:r>
          </a:p>
        </c:rich>
      </c:tx>
      <c:overlay val="0"/>
    </c:title>
    <c:autoTitleDeleted val="0"/>
    <c:plotArea>
      <c:layout>
        <c:manualLayout>
          <c:layoutTarget val="inner"/>
          <c:xMode val="edge"/>
          <c:yMode val="edge"/>
          <c:x val="8.64468503937008E-2"/>
          <c:y val="0.29653944298629326"/>
          <c:w val="0.74557152230971147"/>
          <c:h val="0.587480679498396"/>
        </c:manualLayout>
      </c:layout>
      <c:lineChart>
        <c:grouping val="standard"/>
        <c:varyColors val="0"/>
        <c:ser>
          <c:idx val="0"/>
          <c:order val="0"/>
          <c:tx>
            <c:strRef>
              <c:f>'Graphs (2)'!$A$396</c:f>
              <c:strCache>
                <c:ptCount val="1"/>
                <c:pt idx="0">
                  <c:v>English</c:v>
                </c:pt>
              </c:strCache>
            </c:strRef>
          </c:tx>
          <c:spPr>
            <a:ln w="38100">
              <a:solidFill>
                <a:srgbClr val="00B050"/>
              </a:solidFill>
              <a:prstDash val="solid"/>
            </a:ln>
          </c:spPr>
          <c:marker>
            <c:symbol val="none"/>
          </c:marker>
          <c:cat>
            <c:numRef>
              <c:f>'Graphs (2)'!$B$395:$AG$395</c:f>
              <c:numCache>
                <c:formatCode>General</c:formatCode>
                <c:ptCount val="32"/>
                <c:pt idx="0">
                  <c:v>1.1000000000000001</c:v>
                </c:pt>
                <c:pt idx="1">
                  <c:v>1.2</c:v>
                </c:pt>
                <c:pt idx="2">
                  <c:v>1.3</c:v>
                </c:pt>
                <c:pt idx="3">
                  <c:v>1.4</c:v>
                </c:pt>
                <c:pt idx="4">
                  <c:v>1.5</c:v>
                </c:pt>
                <c:pt idx="5">
                  <c:v>1.6</c:v>
                </c:pt>
                <c:pt idx="6">
                  <c:v>2.1</c:v>
                </c:pt>
                <c:pt idx="7">
                  <c:v>2.2000000000000002</c:v>
                </c:pt>
                <c:pt idx="8">
                  <c:v>2.2999999999999998</c:v>
                </c:pt>
                <c:pt idx="9">
                  <c:v>2.4</c:v>
                </c:pt>
                <c:pt idx="10">
                  <c:v>2.5</c:v>
                </c:pt>
                <c:pt idx="11">
                  <c:v>2.6</c:v>
                </c:pt>
                <c:pt idx="12">
                  <c:v>3.1</c:v>
                </c:pt>
                <c:pt idx="13">
                  <c:v>3.2</c:v>
                </c:pt>
                <c:pt idx="14">
                  <c:v>3.3</c:v>
                </c:pt>
                <c:pt idx="15">
                  <c:v>3.4</c:v>
                </c:pt>
                <c:pt idx="16">
                  <c:v>3.5</c:v>
                </c:pt>
                <c:pt idx="17">
                  <c:v>3.6</c:v>
                </c:pt>
                <c:pt idx="18">
                  <c:v>4.0999999999999996</c:v>
                </c:pt>
                <c:pt idx="19">
                  <c:v>4.2</c:v>
                </c:pt>
                <c:pt idx="20">
                  <c:v>4.3</c:v>
                </c:pt>
                <c:pt idx="21">
                  <c:v>4.4000000000000004</c:v>
                </c:pt>
                <c:pt idx="22">
                  <c:v>4.5</c:v>
                </c:pt>
                <c:pt idx="23">
                  <c:v>4.5999999999999996</c:v>
                </c:pt>
                <c:pt idx="24">
                  <c:v>4.7</c:v>
                </c:pt>
                <c:pt idx="25">
                  <c:v>4.8</c:v>
                </c:pt>
                <c:pt idx="26">
                  <c:v>5.0999999999999996</c:v>
                </c:pt>
                <c:pt idx="27">
                  <c:v>5.2</c:v>
                </c:pt>
                <c:pt idx="28">
                  <c:v>5.3</c:v>
                </c:pt>
                <c:pt idx="29">
                  <c:v>5.4</c:v>
                </c:pt>
                <c:pt idx="30">
                  <c:v>5.5</c:v>
                </c:pt>
                <c:pt idx="31">
                  <c:v>5.6</c:v>
                </c:pt>
              </c:numCache>
            </c:numRef>
          </c:cat>
          <c:val>
            <c:numRef>
              <c:f>'Graphs (2)'!$B$396:$AG$396</c:f>
              <c:numCache>
                <c:formatCode>General</c:formatCode>
                <c:ptCount val="32"/>
                <c:pt idx="0">
                  <c:v>66.214285714285708</c:v>
                </c:pt>
                <c:pt idx="1">
                  <c:v>63.14945054945052</c:v>
                </c:pt>
                <c:pt idx="2">
                  <c:v>66.381318681318703</c:v>
                </c:pt>
                <c:pt idx="3">
                  <c:v>69.131868131868146</c:v>
                </c:pt>
                <c:pt idx="4">
                  <c:v>69.14725274725275</c:v>
                </c:pt>
                <c:pt idx="5">
                  <c:v>66.003296703296684</c:v>
                </c:pt>
                <c:pt idx="6">
                  <c:v>62.820224719101134</c:v>
                </c:pt>
                <c:pt idx="7">
                  <c:v>67.664044943820244</c:v>
                </c:pt>
                <c:pt idx="8">
                  <c:v>64.215730337078654</c:v>
                </c:pt>
                <c:pt idx="9">
                  <c:v>56.146067415730329</c:v>
                </c:pt>
                <c:pt idx="10">
                  <c:v>65.52471910112358</c:v>
                </c:pt>
                <c:pt idx="11">
                  <c:v>66.707865168539328</c:v>
                </c:pt>
                <c:pt idx="12">
                  <c:v>63.721590909090921</c:v>
                </c:pt>
                <c:pt idx="13">
                  <c:v>61.310227272727282</c:v>
                </c:pt>
                <c:pt idx="14">
                  <c:v>69.26321839080461</c:v>
                </c:pt>
                <c:pt idx="15">
                  <c:v>65.411627906976761</c:v>
                </c:pt>
                <c:pt idx="16">
                  <c:v>67.05930232558137</c:v>
                </c:pt>
                <c:pt idx="17">
                  <c:v>69.679069767441874</c:v>
                </c:pt>
                <c:pt idx="18">
                  <c:v>66.805063291139248</c:v>
                </c:pt>
                <c:pt idx="19">
                  <c:v>64.74683544303798</c:v>
                </c:pt>
                <c:pt idx="20">
                  <c:v>66.229113924050637</c:v>
                </c:pt>
                <c:pt idx="21">
                  <c:v>76.805063291139263</c:v>
                </c:pt>
                <c:pt idx="22">
                  <c:v>66.820253164556959</c:v>
                </c:pt>
                <c:pt idx="23">
                  <c:v>65.721518987341767</c:v>
                </c:pt>
                <c:pt idx="24">
                  <c:v>67.635443037974696</c:v>
                </c:pt>
                <c:pt idx="25">
                  <c:v>68.430379746835442</c:v>
                </c:pt>
                <c:pt idx="26">
                  <c:v>68.857142857142861</c:v>
                </c:pt>
                <c:pt idx="27">
                  <c:v>69.63636363636364</c:v>
                </c:pt>
                <c:pt idx="28">
                  <c:v>71.883116883116884</c:v>
                </c:pt>
                <c:pt idx="29">
                  <c:v>65.740259740259745</c:v>
                </c:pt>
                <c:pt idx="30">
                  <c:v>65.909090909090907</c:v>
                </c:pt>
                <c:pt idx="31">
                  <c:v>67.077922077922082</c:v>
                </c:pt>
              </c:numCache>
            </c:numRef>
          </c:val>
          <c:smooth val="0"/>
          <c:extLst>
            <c:ext xmlns:c16="http://schemas.microsoft.com/office/drawing/2014/chart" uri="{C3380CC4-5D6E-409C-BE32-E72D297353CC}">
              <c16:uniqueId val="{00000000-B98E-4915-BB0E-A647CF7D843C}"/>
            </c:ext>
          </c:extLst>
        </c:ser>
        <c:ser>
          <c:idx val="1"/>
          <c:order val="1"/>
          <c:tx>
            <c:strRef>
              <c:f>'Graphs (2)'!$A$397</c:f>
              <c:strCache>
                <c:ptCount val="1"/>
                <c:pt idx="0">
                  <c:v>Other</c:v>
                </c:pt>
              </c:strCache>
            </c:strRef>
          </c:tx>
          <c:spPr>
            <a:ln w="38100">
              <a:solidFill>
                <a:srgbClr val="0070C0"/>
              </a:solidFill>
            </a:ln>
          </c:spPr>
          <c:marker>
            <c:symbol val="none"/>
          </c:marker>
          <c:cat>
            <c:numRef>
              <c:f>'Graphs (2)'!$B$395:$AG$395</c:f>
              <c:numCache>
                <c:formatCode>General</c:formatCode>
                <c:ptCount val="32"/>
                <c:pt idx="0">
                  <c:v>1.1000000000000001</c:v>
                </c:pt>
                <c:pt idx="1">
                  <c:v>1.2</c:v>
                </c:pt>
                <c:pt idx="2">
                  <c:v>1.3</c:v>
                </c:pt>
                <c:pt idx="3">
                  <c:v>1.4</c:v>
                </c:pt>
                <c:pt idx="4">
                  <c:v>1.5</c:v>
                </c:pt>
                <c:pt idx="5">
                  <c:v>1.6</c:v>
                </c:pt>
                <c:pt idx="6">
                  <c:v>2.1</c:v>
                </c:pt>
                <c:pt idx="7">
                  <c:v>2.2000000000000002</c:v>
                </c:pt>
                <c:pt idx="8">
                  <c:v>2.2999999999999998</c:v>
                </c:pt>
                <c:pt idx="9">
                  <c:v>2.4</c:v>
                </c:pt>
                <c:pt idx="10">
                  <c:v>2.5</c:v>
                </c:pt>
                <c:pt idx="11">
                  <c:v>2.6</c:v>
                </c:pt>
                <c:pt idx="12">
                  <c:v>3.1</c:v>
                </c:pt>
                <c:pt idx="13">
                  <c:v>3.2</c:v>
                </c:pt>
                <c:pt idx="14">
                  <c:v>3.3</c:v>
                </c:pt>
                <c:pt idx="15">
                  <c:v>3.4</c:v>
                </c:pt>
                <c:pt idx="16">
                  <c:v>3.5</c:v>
                </c:pt>
                <c:pt idx="17">
                  <c:v>3.6</c:v>
                </c:pt>
                <c:pt idx="18">
                  <c:v>4.0999999999999996</c:v>
                </c:pt>
                <c:pt idx="19">
                  <c:v>4.2</c:v>
                </c:pt>
                <c:pt idx="20">
                  <c:v>4.3</c:v>
                </c:pt>
                <c:pt idx="21">
                  <c:v>4.4000000000000004</c:v>
                </c:pt>
                <c:pt idx="22">
                  <c:v>4.5</c:v>
                </c:pt>
                <c:pt idx="23">
                  <c:v>4.5999999999999996</c:v>
                </c:pt>
                <c:pt idx="24">
                  <c:v>4.7</c:v>
                </c:pt>
                <c:pt idx="25">
                  <c:v>4.8</c:v>
                </c:pt>
                <c:pt idx="26">
                  <c:v>5.0999999999999996</c:v>
                </c:pt>
                <c:pt idx="27">
                  <c:v>5.2</c:v>
                </c:pt>
                <c:pt idx="28">
                  <c:v>5.3</c:v>
                </c:pt>
                <c:pt idx="29">
                  <c:v>5.4</c:v>
                </c:pt>
                <c:pt idx="30">
                  <c:v>5.5</c:v>
                </c:pt>
                <c:pt idx="31">
                  <c:v>5.6</c:v>
                </c:pt>
              </c:numCache>
            </c:numRef>
          </c:cat>
          <c:val>
            <c:numRef>
              <c:f>'Graphs (2)'!$B$397:$AG$397</c:f>
              <c:numCache>
                <c:formatCode>General</c:formatCode>
                <c:ptCount val="32"/>
                <c:pt idx="0">
                  <c:v>59.516190476190467</c:v>
                </c:pt>
                <c:pt idx="1">
                  <c:v>57.524761904761924</c:v>
                </c:pt>
                <c:pt idx="2">
                  <c:v>62.028571428571404</c:v>
                </c:pt>
                <c:pt idx="3">
                  <c:v>65.555855855855825</c:v>
                </c:pt>
                <c:pt idx="4">
                  <c:v>63.921621621621647</c:v>
                </c:pt>
                <c:pt idx="5">
                  <c:v>61.543243243243253</c:v>
                </c:pt>
                <c:pt idx="6">
                  <c:v>56.82285714285716</c:v>
                </c:pt>
                <c:pt idx="7">
                  <c:v>63.544761904761913</c:v>
                </c:pt>
                <c:pt idx="8">
                  <c:v>61.016190476190509</c:v>
                </c:pt>
                <c:pt idx="9">
                  <c:v>53.242307692307683</c:v>
                </c:pt>
                <c:pt idx="10">
                  <c:v>58.756310679611644</c:v>
                </c:pt>
                <c:pt idx="11">
                  <c:v>59.601941747572816</c:v>
                </c:pt>
                <c:pt idx="12">
                  <c:v>56.048039215686281</c:v>
                </c:pt>
                <c:pt idx="13">
                  <c:v>54.472549019607861</c:v>
                </c:pt>
                <c:pt idx="14">
                  <c:v>58.602970297029707</c:v>
                </c:pt>
                <c:pt idx="15">
                  <c:v>58.028124999999996</c:v>
                </c:pt>
                <c:pt idx="16">
                  <c:v>58.423958333333331</c:v>
                </c:pt>
                <c:pt idx="17">
                  <c:v>60.249999999999979</c:v>
                </c:pt>
                <c:pt idx="18">
                  <c:v>61.121518987341751</c:v>
                </c:pt>
                <c:pt idx="19">
                  <c:v>60.762500000000003</c:v>
                </c:pt>
                <c:pt idx="20">
                  <c:v>57.524999999999991</c:v>
                </c:pt>
                <c:pt idx="21">
                  <c:v>70.678749999999994</c:v>
                </c:pt>
                <c:pt idx="22">
                  <c:v>63.207594936708858</c:v>
                </c:pt>
                <c:pt idx="23">
                  <c:v>61.125</c:v>
                </c:pt>
                <c:pt idx="24">
                  <c:v>62.370000000000005</c:v>
                </c:pt>
                <c:pt idx="25">
                  <c:v>60.303797468354432</c:v>
                </c:pt>
                <c:pt idx="26">
                  <c:v>65.85507246376811</c:v>
                </c:pt>
                <c:pt idx="27">
                  <c:v>64.217391304347828</c:v>
                </c:pt>
                <c:pt idx="28">
                  <c:v>66.308823529411768</c:v>
                </c:pt>
                <c:pt idx="29">
                  <c:v>63.231884057971016</c:v>
                </c:pt>
                <c:pt idx="30">
                  <c:v>61.89855072463768</c:v>
                </c:pt>
                <c:pt idx="31">
                  <c:v>59.869565217391305</c:v>
                </c:pt>
              </c:numCache>
            </c:numRef>
          </c:val>
          <c:smooth val="0"/>
          <c:extLst>
            <c:ext xmlns:c16="http://schemas.microsoft.com/office/drawing/2014/chart" uri="{C3380CC4-5D6E-409C-BE32-E72D297353CC}">
              <c16:uniqueId val="{00000001-B98E-4915-BB0E-A647CF7D843C}"/>
            </c:ext>
          </c:extLst>
        </c:ser>
        <c:dLbls>
          <c:showLegendKey val="0"/>
          <c:showVal val="0"/>
          <c:showCatName val="0"/>
          <c:showSerName val="0"/>
          <c:showPercent val="0"/>
          <c:showBubbleSize val="0"/>
        </c:dLbls>
        <c:smooth val="0"/>
        <c:axId val="557507520"/>
        <c:axId val="560996048"/>
      </c:lineChart>
      <c:catAx>
        <c:axId val="557507520"/>
        <c:scaling>
          <c:orientation val="minMax"/>
        </c:scaling>
        <c:delete val="0"/>
        <c:axPos val="b"/>
        <c:title>
          <c:tx>
            <c:rich>
              <a:bodyPr/>
              <a:lstStyle/>
              <a:p>
                <a:pPr>
                  <a:defRPr/>
                </a:pPr>
                <a:r>
                  <a:rPr lang="en-ZA"/>
                  <a:t>Tests over 5 years</a:t>
                </a:r>
              </a:p>
            </c:rich>
          </c:tx>
          <c:overlay val="0"/>
        </c:title>
        <c:numFmt formatCode="General" sourceLinked="1"/>
        <c:majorTickMark val="none"/>
        <c:minorTickMark val="none"/>
        <c:tickLblPos val="nextTo"/>
        <c:crossAx val="560996048"/>
        <c:crosses val="autoZero"/>
        <c:auto val="1"/>
        <c:lblAlgn val="ctr"/>
        <c:lblOffset val="100"/>
        <c:noMultiLvlLbl val="0"/>
      </c:catAx>
      <c:valAx>
        <c:axId val="560996048"/>
        <c:scaling>
          <c:orientation val="minMax"/>
          <c:max val="80"/>
          <c:min val="50"/>
        </c:scaling>
        <c:delete val="0"/>
        <c:axPos val="l"/>
        <c:majorGridlines/>
        <c:title>
          <c:tx>
            <c:rich>
              <a:bodyPr/>
              <a:lstStyle/>
              <a:p>
                <a:pPr>
                  <a:defRPr/>
                </a:pPr>
                <a:r>
                  <a:rPr lang="en-ZA"/>
                  <a:t>Mean group marks</a:t>
                </a:r>
              </a:p>
            </c:rich>
          </c:tx>
          <c:overlay val="0"/>
        </c:title>
        <c:numFmt formatCode="General" sourceLinked="1"/>
        <c:majorTickMark val="none"/>
        <c:minorTickMark val="none"/>
        <c:tickLblPos val="nextTo"/>
        <c:crossAx val="557507520"/>
        <c:crosses val="autoZero"/>
        <c:crossBetween val="between"/>
      </c:valAx>
    </c:plotArea>
    <c:legend>
      <c:legendPos val="r"/>
      <c:layout>
        <c:manualLayout>
          <c:xMode val="edge"/>
          <c:yMode val="edge"/>
          <c:x val="0.83722156605424325"/>
          <c:y val="0.53885198011182256"/>
          <c:w val="0.16277843394575675"/>
          <c:h val="0.16743446381241656"/>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ZA"/>
              <a:t>Assessment marks according to Sex</a:t>
            </a:r>
          </a:p>
        </c:rich>
      </c:tx>
      <c:overlay val="0"/>
    </c:title>
    <c:autoTitleDeleted val="0"/>
    <c:plotArea>
      <c:layout>
        <c:manualLayout>
          <c:layoutTarget val="inner"/>
          <c:xMode val="edge"/>
          <c:yMode val="edge"/>
          <c:x val="9.6169072615923043E-2"/>
          <c:y val="0.19480351414406533"/>
          <c:w val="0.78841426071741005"/>
          <c:h val="0.67797025371828568"/>
        </c:manualLayout>
      </c:layout>
      <c:lineChart>
        <c:grouping val="standard"/>
        <c:varyColors val="0"/>
        <c:ser>
          <c:idx val="0"/>
          <c:order val="0"/>
          <c:tx>
            <c:strRef>
              <c:f>'Graphs (2)'!$A$381</c:f>
              <c:strCache>
                <c:ptCount val="1"/>
                <c:pt idx="0">
                  <c:v>F</c:v>
                </c:pt>
              </c:strCache>
            </c:strRef>
          </c:tx>
          <c:spPr>
            <a:ln w="38100">
              <a:solidFill>
                <a:srgbClr val="FF0000"/>
              </a:solidFill>
              <a:prstDash val="solid"/>
            </a:ln>
          </c:spPr>
          <c:marker>
            <c:symbol val="none"/>
          </c:marker>
          <c:cat>
            <c:numRef>
              <c:f>'Graphs (2)'!$B$380:$AG$380</c:f>
              <c:numCache>
                <c:formatCode>General</c:formatCode>
                <c:ptCount val="32"/>
                <c:pt idx="0">
                  <c:v>1.1000000000000001</c:v>
                </c:pt>
                <c:pt idx="1">
                  <c:v>1.2</c:v>
                </c:pt>
                <c:pt idx="2">
                  <c:v>1.3</c:v>
                </c:pt>
                <c:pt idx="3">
                  <c:v>1.4</c:v>
                </c:pt>
                <c:pt idx="4">
                  <c:v>1.5</c:v>
                </c:pt>
                <c:pt idx="5">
                  <c:v>1.6</c:v>
                </c:pt>
                <c:pt idx="6">
                  <c:v>2.1</c:v>
                </c:pt>
                <c:pt idx="7">
                  <c:v>2.2000000000000002</c:v>
                </c:pt>
                <c:pt idx="8">
                  <c:v>2.2999999999999998</c:v>
                </c:pt>
                <c:pt idx="9">
                  <c:v>2.4</c:v>
                </c:pt>
                <c:pt idx="10">
                  <c:v>2.5</c:v>
                </c:pt>
                <c:pt idx="11">
                  <c:v>2.6</c:v>
                </c:pt>
                <c:pt idx="12">
                  <c:v>3.1</c:v>
                </c:pt>
                <c:pt idx="13">
                  <c:v>3.2</c:v>
                </c:pt>
                <c:pt idx="14">
                  <c:v>3.3</c:v>
                </c:pt>
                <c:pt idx="15">
                  <c:v>3.4</c:v>
                </c:pt>
                <c:pt idx="16">
                  <c:v>3.5</c:v>
                </c:pt>
                <c:pt idx="17">
                  <c:v>3.6</c:v>
                </c:pt>
                <c:pt idx="18">
                  <c:v>4.0999999999999996</c:v>
                </c:pt>
                <c:pt idx="19">
                  <c:v>4.2</c:v>
                </c:pt>
                <c:pt idx="20">
                  <c:v>4.3</c:v>
                </c:pt>
                <c:pt idx="21">
                  <c:v>4.4000000000000004</c:v>
                </c:pt>
                <c:pt idx="22">
                  <c:v>4.5</c:v>
                </c:pt>
                <c:pt idx="23">
                  <c:v>4.5999999999999996</c:v>
                </c:pt>
                <c:pt idx="24">
                  <c:v>4.7</c:v>
                </c:pt>
                <c:pt idx="25">
                  <c:v>4.8</c:v>
                </c:pt>
                <c:pt idx="26">
                  <c:v>5.0999999999999996</c:v>
                </c:pt>
                <c:pt idx="27">
                  <c:v>5.2</c:v>
                </c:pt>
                <c:pt idx="28">
                  <c:v>5.3</c:v>
                </c:pt>
                <c:pt idx="29">
                  <c:v>5.4</c:v>
                </c:pt>
                <c:pt idx="30">
                  <c:v>5.5</c:v>
                </c:pt>
                <c:pt idx="31">
                  <c:v>5.6</c:v>
                </c:pt>
              </c:numCache>
            </c:numRef>
          </c:cat>
          <c:val>
            <c:numRef>
              <c:f>'Graphs (2)'!$B$381:$AG$381</c:f>
              <c:numCache>
                <c:formatCode>General</c:formatCode>
                <c:ptCount val="32"/>
                <c:pt idx="0">
                  <c:v>63.284112149532724</c:v>
                </c:pt>
                <c:pt idx="1">
                  <c:v>61.028971962616829</c:v>
                </c:pt>
                <c:pt idx="2">
                  <c:v>64.115887850467232</c:v>
                </c:pt>
                <c:pt idx="3">
                  <c:v>66.949107142857173</c:v>
                </c:pt>
                <c:pt idx="4">
                  <c:v>67.651785714285722</c:v>
                </c:pt>
                <c:pt idx="5">
                  <c:v>63.314285714285724</c:v>
                </c:pt>
                <c:pt idx="6">
                  <c:v>60.018691588785053</c:v>
                </c:pt>
                <c:pt idx="7">
                  <c:v>65.576635514018719</c:v>
                </c:pt>
                <c:pt idx="8">
                  <c:v>62.896261682243001</c:v>
                </c:pt>
                <c:pt idx="9">
                  <c:v>55.129245283018868</c:v>
                </c:pt>
                <c:pt idx="10">
                  <c:v>62.198095238095235</c:v>
                </c:pt>
                <c:pt idx="11">
                  <c:v>63.419047619047618</c:v>
                </c:pt>
                <c:pt idx="12">
                  <c:v>59.610679611650482</c:v>
                </c:pt>
                <c:pt idx="13">
                  <c:v>58.223300970873787</c:v>
                </c:pt>
                <c:pt idx="14">
                  <c:v>63.151960784313722</c:v>
                </c:pt>
                <c:pt idx="15">
                  <c:v>61.699999999999989</c:v>
                </c:pt>
                <c:pt idx="16">
                  <c:v>62.487999999999985</c:v>
                </c:pt>
                <c:pt idx="17">
                  <c:v>64.300999999999945</c:v>
                </c:pt>
                <c:pt idx="18">
                  <c:v>65.320930232558155</c:v>
                </c:pt>
                <c:pt idx="19">
                  <c:v>63.022988505747129</c:v>
                </c:pt>
                <c:pt idx="20">
                  <c:v>62.481609195402292</c:v>
                </c:pt>
                <c:pt idx="21">
                  <c:v>74.644827586206873</c:v>
                </c:pt>
                <c:pt idx="22">
                  <c:v>64.920930232558163</c:v>
                </c:pt>
                <c:pt idx="23">
                  <c:v>63.678160919540232</c:v>
                </c:pt>
                <c:pt idx="24">
                  <c:v>65.882758620689643</c:v>
                </c:pt>
                <c:pt idx="25">
                  <c:v>65.252873563218387</c:v>
                </c:pt>
                <c:pt idx="26">
                  <c:v>67.792682926829272</c:v>
                </c:pt>
                <c:pt idx="27">
                  <c:v>67.341463414634148</c:v>
                </c:pt>
                <c:pt idx="28">
                  <c:v>70.060975609756099</c:v>
                </c:pt>
                <c:pt idx="29">
                  <c:v>64.817073170731703</c:v>
                </c:pt>
                <c:pt idx="30">
                  <c:v>64.951219512195124</c:v>
                </c:pt>
                <c:pt idx="31">
                  <c:v>64.170731707317074</c:v>
                </c:pt>
              </c:numCache>
            </c:numRef>
          </c:val>
          <c:smooth val="0"/>
          <c:extLst>
            <c:ext xmlns:c16="http://schemas.microsoft.com/office/drawing/2014/chart" uri="{C3380CC4-5D6E-409C-BE32-E72D297353CC}">
              <c16:uniqueId val="{00000000-E27B-4D09-8672-FA1D48A6180E}"/>
            </c:ext>
          </c:extLst>
        </c:ser>
        <c:ser>
          <c:idx val="1"/>
          <c:order val="1"/>
          <c:tx>
            <c:strRef>
              <c:f>'Graphs (2)'!$A$382</c:f>
              <c:strCache>
                <c:ptCount val="1"/>
                <c:pt idx="0">
                  <c:v>M</c:v>
                </c:pt>
              </c:strCache>
            </c:strRef>
          </c:tx>
          <c:spPr>
            <a:ln w="38100">
              <a:solidFill>
                <a:srgbClr val="0070C0"/>
              </a:solidFill>
            </a:ln>
          </c:spPr>
          <c:marker>
            <c:symbol val="none"/>
          </c:marker>
          <c:cat>
            <c:numRef>
              <c:f>'Graphs (2)'!$B$380:$AG$380</c:f>
              <c:numCache>
                <c:formatCode>General</c:formatCode>
                <c:ptCount val="32"/>
                <c:pt idx="0">
                  <c:v>1.1000000000000001</c:v>
                </c:pt>
                <c:pt idx="1">
                  <c:v>1.2</c:v>
                </c:pt>
                <c:pt idx="2">
                  <c:v>1.3</c:v>
                </c:pt>
                <c:pt idx="3">
                  <c:v>1.4</c:v>
                </c:pt>
                <c:pt idx="4">
                  <c:v>1.5</c:v>
                </c:pt>
                <c:pt idx="5">
                  <c:v>1.6</c:v>
                </c:pt>
                <c:pt idx="6">
                  <c:v>2.1</c:v>
                </c:pt>
                <c:pt idx="7">
                  <c:v>2.2000000000000002</c:v>
                </c:pt>
                <c:pt idx="8">
                  <c:v>2.2999999999999998</c:v>
                </c:pt>
                <c:pt idx="9">
                  <c:v>2.4</c:v>
                </c:pt>
                <c:pt idx="10">
                  <c:v>2.5</c:v>
                </c:pt>
                <c:pt idx="11">
                  <c:v>2.6</c:v>
                </c:pt>
                <c:pt idx="12">
                  <c:v>3.1</c:v>
                </c:pt>
                <c:pt idx="13">
                  <c:v>3.2</c:v>
                </c:pt>
                <c:pt idx="14">
                  <c:v>3.3</c:v>
                </c:pt>
                <c:pt idx="15">
                  <c:v>3.4</c:v>
                </c:pt>
                <c:pt idx="16">
                  <c:v>3.5</c:v>
                </c:pt>
                <c:pt idx="17">
                  <c:v>3.6</c:v>
                </c:pt>
                <c:pt idx="18">
                  <c:v>4.0999999999999996</c:v>
                </c:pt>
                <c:pt idx="19">
                  <c:v>4.2</c:v>
                </c:pt>
                <c:pt idx="20">
                  <c:v>4.3</c:v>
                </c:pt>
                <c:pt idx="21">
                  <c:v>4.4000000000000004</c:v>
                </c:pt>
                <c:pt idx="22">
                  <c:v>4.5</c:v>
                </c:pt>
                <c:pt idx="23">
                  <c:v>4.5999999999999996</c:v>
                </c:pt>
                <c:pt idx="24">
                  <c:v>4.7</c:v>
                </c:pt>
                <c:pt idx="25">
                  <c:v>4.8</c:v>
                </c:pt>
                <c:pt idx="26">
                  <c:v>5.0999999999999996</c:v>
                </c:pt>
                <c:pt idx="27">
                  <c:v>5.2</c:v>
                </c:pt>
                <c:pt idx="28">
                  <c:v>5.3</c:v>
                </c:pt>
                <c:pt idx="29">
                  <c:v>5.4</c:v>
                </c:pt>
                <c:pt idx="30">
                  <c:v>5.5</c:v>
                </c:pt>
                <c:pt idx="31">
                  <c:v>5.6</c:v>
                </c:pt>
              </c:numCache>
            </c:numRef>
          </c:cat>
          <c:val>
            <c:numRef>
              <c:f>'Graphs (2)'!$B$382:$AG$382</c:f>
              <c:numCache>
                <c:formatCode>General</c:formatCode>
                <c:ptCount val="32"/>
                <c:pt idx="0">
                  <c:v>61.834831460674152</c:v>
                </c:pt>
                <c:pt idx="1">
                  <c:v>59.062921348314589</c:v>
                </c:pt>
                <c:pt idx="2">
                  <c:v>63.969662921348345</c:v>
                </c:pt>
                <c:pt idx="3">
                  <c:v>67.437777777777768</c:v>
                </c:pt>
                <c:pt idx="4">
                  <c:v>64.563333333333304</c:v>
                </c:pt>
                <c:pt idx="5">
                  <c:v>63.848888888888887</c:v>
                </c:pt>
                <c:pt idx="6">
                  <c:v>59.027586206896551</c:v>
                </c:pt>
                <c:pt idx="7">
                  <c:v>65.259770114942555</c:v>
                </c:pt>
                <c:pt idx="8">
                  <c:v>61.977011494252864</c:v>
                </c:pt>
                <c:pt idx="9">
                  <c:v>53.913793103448263</c:v>
                </c:pt>
                <c:pt idx="10">
                  <c:v>61.526436781609199</c:v>
                </c:pt>
                <c:pt idx="11">
                  <c:v>62.264367816091955</c:v>
                </c:pt>
                <c:pt idx="12">
                  <c:v>59.591954022988503</c:v>
                </c:pt>
                <c:pt idx="13">
                  <c:v>56.948275862068954</c:v>
                </c:pt>
                <c:pt idx="14">
                  <c:v>63.991860465116261</c:v>
                </c:pt>
                <c:pt idx="15">
                  <c:v>61.293902439024414</c:v>
                </c:pt>
                <c:pt idx="16">
                  <c:v>62.524390243902396</c:v>
                </c:pt>
                <c:pt idx="17">
                  <c:v>65.198780487804896</c:v>
                </c:pt>
                <c:pt idx="18">
                  <c:v>62.341666666666669</c:v>
                </c:pt>
                <c:pt idx="19">
                  <c:v>62.402777777777779</c:v>
                </c:pt>
                <c:pt idx="20">
                  <c:v>61.086111111111109</c:v>
                </c:pt>
                <c:pt idx="21">
                  <c:v>72.608333333333292</c:v>
                </c:pt>
                <c:pt idx="22">
                  <c:v>65.125000000000014</c:v>
                </c:pt>
                <c:pt idx="23">
                  <c:v>63.083333333333336</c:v>
                </c:pt>
                <c:pt idx="24">
                  <c:v>63.902777777777779</c:v>
                </c:pt>
                <c:pt idx="25">
                  <c:v>63.281690140845072</c:v>
                </c:pt>
                <c:pt idx="26">
                  <c:v>66.984375</c:v>
                </c:pt>
                <c:pt idx="27">
                  <c:v>66.734375</c:v>
                </c:pt>
                <c:pt idx="28">
                  <c:v>68.238095238095241</c:v>
                </c:pt>
                <c:pt idx="29">
                  <c:v>64.21875</c:v>
                </c:pt>
                <c:pt idx="30">
                  <c:v>62.8125</c:v>
                </c:pt>
                <c:pt idx="31">
                  <c:v>63.03125</c:v>
                </c:pt>
              </c:numCache>
            </c:numRef>
          </c:val>
          <c:smooth val="0"/>
          <c:extLst>
            <c:ext xmlns:c16="http://schemas.microsoft.com/office/drawing/2014/chart" uri="{C3380CC4-5D6E-409C-BE32-E72D297353CC}">
              <c16:uniqueId val="{00000001-E27B-4D09-8672-FA1D48A6180E}"/>
            </c:ext>
          </c:extLst>
        </c:ser>
        <c:dLbls>
          <c:showLegendKey val="0"/>
          <c:showVal val="0"/>
          <c:showCatName val="0"/>
          <c:showSerName val="0"/>
          <c:showPercent val="0"/>
          <c:showBubbleSize val="0"/>
        </c:dLbls>
        <c:smooth val="0"/>
        <c:axId val="556729024"/>
        <c:axId val="555383272"/>
      </c:lineChart>
      <c:catAx>
        <c:axId val="556729024"/>
        <c:scaling>
          <c:orientation val="minMax"/>
        </c:scaling>
        <c:delete val="0"/>
        <c:axPos val="b"/>
        <c:title>
          <c:tx>
            <c:rich>
              <a:bodyPr/>
              <a:lstStyle/>
              <a:p>
                <a:pPr>
                  <a:defRPr/>
                </a:pPr>
                <a:r>
                  <a:rPr lang="en-ZA"/>
                  <a:t>Tests over 5 years</a:t>
                </a:r>
              </a:p>
            </c:rich>
          </c:tx>
          <c:overlay val="0"/>
        </c:title>
        <c:numFmt formatCode="General" sourceLinked="1"/>
        <c:majorTickMark val="none"/>
        <c:minorTickMark val="none"/>
        <c:tickLblPos val="nextTo"/>
        <c:crossAx val="555383272"/>
        <c:crosses val="autoZero"/>
        <c:auto val="1"/>
        <c:lblAlgn val="ctr"/>
        <c:lblOffset val="100"/>
        <c:noMultiLvlLbl val="0"/>
      </c:catAx>
      <c:valAx>
        <c:axId val="555383272"/>
        <c:scaling>
          <c:orientation val="minMax"/>
          <c:min val="50"/>
        </c:scaling>
        <c:delete val="0"/>
        <c:axPos val="l"/>
        <c:majorGridlines/>
        <c:title>
          <c:tx>
            <c:rich>
              <a:bodyPr/>
              <a:lstStyle/>
              <a:p>
                <a:pPr>
                  <a:defRPr/>
                </a:pPr>
                <a:r>
                  <a:rPr lang="en-ZA"/>
                  <a:t>Mean</a:t>
                </a:r>
                <a:r>
                  <a:rPr lang="en-ZA" baseline="0"/>
                  <a:t> group marks</a:t>
                </a:r>
                <a:endParaRPr lang="en-ZA"/>
              </a:p>
            </c:rich>
          </c:tx>
          <c:overlay val="0"/>
        </c:title>
        <c:numFmt formatCode="General" sourceLinked="1"/>
        <c:majorTickMark val="none"/>
        <c:minorTickMark val="none"/>
        <c:tickLblPos val="nextTo"/>
        <c:crossAx val="556729024"/>
        <c:crosses val="autoZero"/>
        <c:crossBetween val="between"/>
      </c:valAx>
    </c:plotArea>
    <c:legend>
      <c:legendPos val="r"/>
      <c:layout>
        <c:manualLayout>
          <c:xMode val="edge"/>
          <c:yMode val="edge"/>
          <c:x val="0.88736111111111104"/>
          <c:y val="0.48798410615339755"/>
          <c:w val="0.11263888888888884"/>
          <c:h val="0.16743438320209975"/>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ZA"/>
              <a:t>Assessment marks according to Age</a:t>
            </a:r>
          </a:p>
        </c:rich>
      </c:tx>
      <c:layout>
        <c:manualLayout>
          <c:xMode val="edge"/>
          <c:yMode val="edge"/>
          <c:x val="0.12217366579177603"/>
          <c:y val="2.7777777777777776E-2"/>
        </c:manualLayout>
      </c:layout>
      <c:overlay val="0"/>
    </c:title>
    <c:autoTitleDeleted val="0"/>
    <c:plotArea>
      <c:layout>
        <c:manualLayout>
          <c:layoutTarget val="inner"/>
          <c:xMode val="edge"/>
          <c:yMode val="edge"/>
          <c:x val="0.11561351706036745"/>
          <c:y val="0.19480351414406533"/>
          <c:w val="0.70709470691163601"/>
          <c:h val="0.65482210557013731"/>
        </c:manualLayout>
      </c:layout>
      <c:lineChart>
        <c:grouping val="standard"/>
        <c:varyColors val="0"/>
        <c:ser>
          <c:idx val="0"/>
          <c:order val="0"/>
          <c:tx>
            <c:strRef>
              <c:f>'Graphs (2)'!$A$386</c:f>
              <c:strCache>
                <c:ptCount val="1"/>
                <c:pt idx="0">
                  <c:v>Younger</c:v>
                </c:pt>
              </c:strCache>
            </c:strRef>
          </c:tx>
          <c:spPr>
            <a:ln w="38100">
              <a:solidFill>
                <a:srgbClr val="FF0000"/>
              </a:solidFill>
              <a:prstDash val="solid"/>
            </a:ln>
          </c:spPr>
          <c:marker>
            <c:symbol val="none"/>
          </c:marker>
          <c:cat>
            <c:numRef>
              <c:f>'Graphs (2)'!$B$385:$AG$385</c:f>
              <c:numCache>
                <c:formatCode>General</c:formatCode>
                <c:ptCount val="32"/>
                <c:pt idx="0">
                  <c:v>1.1000000000000001</c:v>
                </c:pt>
                <c:pt idx="1">
                  <c:v>1.2</c:v>
                </c:pt>
                <c:pt idx="2">
                  <c:v>1.3</c:v>
                </c:pt>
                <c:pt idx="3">
                  <c:v>1.4</c:v>
                </c:pt>
                <c:pt idx="4">
                  <c:v>1.5</c:v>
                </c:pt>
                <c:pt idx="5">
                  <c:v>1.6</c:v>
                </c:pt>
                <c:pt idx="6">
                  <c:v>2.1</c:v>
                </c:pt>
                <c:pt idx="7">
                  <c:v>2.2000000000000002</c:v>
                </c:pt>
                <c:pt idx="8">
                  <c:v>2.2999999999999998</c:v>
                </c:pt>
                <c:pt idx="9">
                  <c:v>2.4</c:v>
                </c:pt>
                <c:pt idx="10">
                  <c:v>2.5</c:v>
                </c:pt>
                <c:pt idx="11">
                  <c:v>2.6</c:v>
                </c:pt>
                <c:pt idx="12">
                  <c:v>3.1</c:v>
                </c:pt>
                <c:pt idx="13">
                  <c:v>3.2</c:v>
                </c:pt>
                <c:pt idx="14">
                  <c:v>3.3</c:v>
                </c:pt>
                <c:pt idx="15">
                  <c:v>3.4</c:v>
                </c:pt>
                <c:pt idx="16">
                  <c:v>3.5</c:v>
                </c:pt>
                <c:pt idx="17">
                  <c:v>3.6</c:v>
                </c:pt>
                <c:pt idx="18">
                  <c:v>4.0999999999999996</c:v>
                </c:pt>
                <c:pt idx="19">
                  <c:v>4.2</c:v>
                </c:pt>
                <c:pt idx="20">
                  <c:v>4.3</c:v>
                </c:pt>
                <c:pt idx="21">
                  <c:v>4.4000000000000004</c:v>
                </c:pt>
                <c:pt idx="22">
                  <c:v>4.5</c:v>
                </c:pt>
                <c:pt idx="23">
                  <c:v>4.5999999999999996</c:v>
                </c:pt>
                <c:pt idx="24">
                  <c:v>4.7</c:v>
                </c:pt>
                <c:pt idx="25">
                  <c:v>4.8</c:v>
                </c:pt>
                <c:pt idx="26">
                  <c:v>5.0999999999999996</c:v>
                </c:pt>
                <c:pt idx="27">
                  <c:v>5.2</c:v>
                </c:pt>
                <c:pt idx="28">
                  <c:v>5.3</c:v>
                </c:pt>
                <c:pt idx="29">
                  <c:v>5.4</c:v>
                </c:pt>
                <c:pt idx="30">
                  <c:v>5.5</c:v>
                </c:pt>
                <c:pt idx="31">
                  <c:v>5.6</c:v>
                </c:pt>
              </c:numCache>
            </c:numRef>
          </c:cat>
          <c:val>
            <c:numRef>
              <c:f>'Graphs (2)'!$B$386:$AG$386</c:f>
              <c:numCache>
                <c:formatCode>General</c:formatCode>
                <c:ptCount val="32"/>
                <c:pt idx="0">
                  <c:v>61.156122448979595</c:v>
                </c:pt>
                <c:pt idx="1">
                  <c:v>58.92244897959182</c:v>
                </c:pt>
                <c:pt idx="2">
                  <c:v>63.027551020408168</c:v>
                </c:pt>
                <c:pt idx="3">
                  <c:v>66.314851485148495</c:v>
                </c:pt>
                <c:pt idx="4">
                  <c:v>65.412871287128695</c:v>
                </c:pt>
                <c:pt idx="5">
                  <c:v>62.728712871287158</c:v>
                </c:pt>
                <c:pt idx="6">
                  <c:v>59.682653061224492</c:v>
                </c:pt>
                <c:pt idx="7">
                  <c:v>64.848979591836752</c:v>
                </c:pt>
                <c:pt idx="8">
                  <c:v>61.292857142857152</c:v>
                </c:pt>
                <c:pt idx="9">
                  <c:v>54.414432989690745</c:v>
                </c:pt>
                <c:pt idx="10">
                  <c:v>61.575257731958764</c:v>
                </c:pt>
                <c:pt idx="11">
                  <c:v>62.659793814432987</c:v>
                </c:pt>
                <c:pt idx="12">
                  <c:v>59.431250000000013</c:v>
                </c:pt>
                <c:pt idx="13">
                  <c:v>58.240624999999994</c:v>
                </c:pt>
                <c:pt idx="14">
                  <c:v>63.921052631578959</c:v>
                </c:pt>
                <c:pt idx="15">
                  <c:v>62.139560439560448</c:v>
                </c:pt>
                <c:pt idx="16">
                  <c:v>62.797802197802184</c:v>
                </c:pt>
                <c:pt idx="17">
                  <c:v>65.418681318681337</c:v>
                </c:pt>
                <c:pt idx="18">
                  <c:v>64.544736842105252</c:v>
                </c:pt>
                <c:pt idx="19">
                  <c:v>64</c:v>
                </c:pt>
                <c:pt idx="20">
                  <c:v>62.973684210526301</c:v>
                </c:pt>
                <c:pt idx="21">
                  <c:v>74.569736842105286</c:v>
                </c:pt>
                <c:pt idx="22">
                  <c:v>66.255263157894717</c:v>
                </c:pt>
                <c:pt idx="23">
                  <c:v>64.46052631578948</c:v>
                </c:pt>
                <c:pt idx="24">
                  <c:v>65.834210526315815</c:v>
                </c:pt>
                <c:pt idx="25">
                  <c:v>65.315789473684205</c:v>
                </c:pt>
                <c:pt idx="26">
                  <c:v>68.040540540540547</c:v>
                </c:pt>
                <c:pt idx="27">
                  <c:v>67.932432432432435</c:v>
                </c:pt>
                <c:pt idx="28">
                  <c:v>70.21621621621621</c:v>
                </c:pt>
                <c:pt idx="29">
                  <c:v>65.202702702702709</c:v>
                </c:pt>
                <c:pt idx="30">
                  <c:v>64.162162162162161</c:v>
                </c:pt>
                <c:pt idx="31">
                  <c:v>64.527027027027032</c:v>
                </c:pt>
              </c:numCache>
            </c:numRef>
          </c:val>
          <c:smooth val="0"/>
          <c:extLst>
            <c:ext xmlns:c16="http://schemas.microsoft.com/office/drawing/2014/chart" uri="{C3380CC4-5D6E-409C-BE32-E72D297353CC}">
              <c16:uniqueId val="{00000000-AB30-43BD-ADFB-F72D1D0F85ED}"/>
            </c:ext>
          </c:extLst>
        </c:ser>
        <c:ser>
          <c:idx val="1"/>
          <c:order val="1"/>
          <c:tx>
            <c:strRef>
              <c:f>'Graphs (2)'!$A$387</c:f>
              <c:strCache>
                <c:ptCount val="1"/>
                <c:pt idx="0">
                  <c:v>Older</c:v>
                </c:pt>
              </c:strCache>
            </c:strRef>
          </c:tx>
          <c:spPr>
            <a:ln w="38100">
              <a:solidFill>
                <a:srgbClr val="0070C0"/>
              </a:solidFill>
            </a:ln>
          </c:spPr>
          <c:marker>
            <c:symbol val="none"/>
          </c:marker>
          <c:cat>
            <c:numRef>
              <c:f>'Graphs (2)'!$B$385:$AG$385</c:f>
              <c:numCache>
                <c:formatCode>General</c:formatCode>
                <c:ptCount val="32"/>
                <c:pt idx="0">
                  <c:v>1.1000000000000001</c:v>
                </c:pt>
                <c:pt idx="1">
                  <c:v>1.2</c:v>
                </c:pt>
                <c:pt idx="2">
                  <c:v>1.3</c:v>
                </c:pt>
                <c:pt idx="3">
                  <c:v>1.4</c:v>
                </c:pt>
                <c:pt idx="4">
                  <c:v>1.5</c:v>
                </c:pt>
                <c:pt idx="5">
                  <c:v>1.6</c:v>
                </c:pt>
                <c:pt idx="6">
                  <c:v>2.1</c:v>
                </c:pt>
                <c:pt idx="7">
                  <c:v>2.2000000000000002</c:v>
                </c:pt>
                <c:pt idx="8">
                  <c:v>2.2999999999999998</c:v>
                </c:pt>
                <c:pt idx="9">
                  <c:v>2.4</c:v>
                </c:pt>
                <c:pt idx="10">
                  <c:v>2.5</c:v>
                </c:pt>
                <c:pt idx="11">
                  <c:v>2.6</c:v>
                </c:pt>
                <c:pt idx="12">
                  <c:v>3.1</c:v>
                </c:pt>
                <c:pt idx="13">
                  <c:v>3.2</c:v>
                </c:pt>
                <c:pt idx="14">
                  <c:v>3.3</c:v>
                </c:pt>
                <c:pt idx="15">
                  <c:v>3.4</c:v>
                </c:pt>
                <c:pt idx="16">
                  <c:v>3.5</c:v>
                </c:pt>
                <c:pt idx="17">
                  <c:v>3.6</c:v>
                </c:pt>
                <c:pt idx="18">
                  <c:v>4.0999999999999996</c:v>
                </c:pt>
                <c:pt idx="19">
                  <c:v>4.2</c:v>
                </c:pt>
                <c:pt idx="20">
                  <c:v>4.3</c:v>
                </c:pt>
                <c:pt idx="21">
                  <c:v>4.4000000000000004</c:v>
                </c:pt>
                <c:pt idx="22">
                  <c:v>4.5</c:v>
                </c:pt>
                <c:pt idx="23">
                  <c:v>4.5999999999999996</c:v>
                </c:pt>
                <c:pt idx="24">
                  <c:v>4.7</c:v>
                </c:pt>
                <c:pt idx="25">
                  <c:v>4.8</c:v>
                </c:pt>
                <c:pt idx="26">
                  <c:v>5.0999999999999996</c:v>
                </c:pt>
                <c:pt idx="27">
                  <c:v>5.2</c:v>
                </c:pt>
                <c:pt idx="28">
                  <c:v>5.3</c:v>
                </c:pt>
                <c:pt idx="29">
                  <c:v>5.4</c:v>
                </c:pt>
                <c:pt idx="30">
                  <c:v>5.5</c:v>
                </c:pt>
                <c:pt idx="31">
                  <c:v>5.6</c:v>
                </c:pt>
              </c:numCache>
            </c:numRef>
          </c:cat>
          <c:val>
            <c:numRef>
              <c:f>'Graphs (2)'!$B$387:$AG$387</c:f>
              <c:numCache>
                <c:formatCode>General</c:formatCode>
                <c:ptCount val="32"/>
                <c:pt idx="0">
                  <c:v>64.095918367346911</c:v>
                </c:pt>
                <c:pt idx="1">
                  <c:v>61.34999999999998</c:v>
                </c:pt>
                <c:pt idx="2">
                  <c:v>65.071428571428584</c:v>
                </c:pt>
                <c:pt idx="3">
                  <c:v>68.018811881188128</c:v>
                </c:pt>
                <c:pt idx="4">
                  <c:v>67.138613861386148</c:v>
                </c:pt>
                <c:pt idx="5">
                  <c:v>64.376237623762378</c:v>
                </c:pt>
                <c:pt idx="6">
                  <c:v>59.463541666666679</c:v>
                </c:pt>
                <c:pt idx="7">
                  <c:v>66.032291666666694</c:v>
                </c:pt>
                <c:pt idx="8">
                  <c:v>63.700000000000017</c:v>
                </c:pt>
                <c:pt idx="9">
                  <c:v>54.749999999999993</c:v>
                </c:pt>
                <c:pt idx="10">
                  <c:v>62.218947368421063</c:v>
                </c:pt>
                <c:pt idx="11">
                  <c:v>63.136842105263156</c:v>
                </c:pt>
                <c:pt idx="12">
                  <c:v>59.776595744680819</c:v>
                </c:pt>
                <c:pt idx="13">
                  <c:v>57.025531914893605</c:v>
                </c:pt>
                <c:pt idx="14">
                  <c:v>63.143010752688163</c:v>
                </c:pt>
                <c:pt idx="15">
                  <c:v>60.89450549450553</c:v>
                </c:pt>
                <c:pt idx="16">
                  <c:v>62.210989010988982</c:v>
                </c:pt>
                <c:pt idx="17">
                  <c:v>63.992307692307726</c:v>
                </c:pt>
                <c:pt idx="18">
                  <c:v>63.424390243902444</c:v>
                </c:pt>
                <c:pt idx="19">
                  <c:v>61.590361445783131</c:v>
                </c:pt>
                <c:pt idx="20">
                  <c:v>60.820481927710851</c:v>
                </c:pt>
                <c:pt idx="21">
                  <c:v>72.94698795180723</c:v>
                </c:pt>
                <c:pt idx="22">
                  <c:v>63.863414634146345</c:v>
                </c:pt>
                <c:pt idx="23">
                  <c:v>62.445783132530117</c:v>
                </c:pt>
                <c:pt idx="24">
                  <c:v>64.209638554216866</c:v>
                </c:pt>
                <c:pt idx="25">
                  <c:v>63.487804878048777</c:v>
                </c:pt>
                <c:pt idx="26">
                  <c:v>66.819444444444443</c:v>
                </c:pt>
                <c:pt idx="27">
                  <c:v>66.194444444444443</c:v>
                </c:pt>
                <c:pt idx="28">
                  <c:v>68.281690140845072</c:v>
                </c:pt>
                <c:pt idx="29">
                  <c:v>63.888888888888886</c:v>
                </c:pt>
                <c:pt idx="30">
                  <c:v>63.861111111111114</c:v>
                </c:pt>
                <c:pt idx="31">
                  <c:v>62.791666666666664</c:v>
                </c:pt>
              </c:numCache>
            </c:numRef>
          </c:val>
          <c:smooth val="0"/>
          <c:extLst>
            <c:ext xmlns:c16="http://schemas.microsoft.com/office/drawing/2014/chart" uri="{C3380CC4-5D6E-409C-BE32-E72D297353CC}">
              <c16:uniqueId val="{00000001-AB30-43BD-ADFB-F72D1D0F85ED}"/>
            </c:ext>
          </c:extLst>
        </c:ser>
        <c:dLbls>
          <c:showLegendKey val="0"/>
          <c:showVal val="0"/>
          <c:showCatName val="0"/>
          <c:showSerName val="0"/>
          <c:showPercent val="0"/>
          <c:showBubbleSize val="0"/>
        </c:dLbls>
        <c:smooth val="0"/>
        <c:axId val="555384056"/>
        <c:axId val="555384448"/>
      </c:lineChart>
      <c:catAx>
        <c:axId val="555384056"/>
        <c:scaling>
          <c:orientation val="minMax"/>
        </c:scaling>
        <c:delete val="0"/>
        <c:axPos val="b"/>
        <c:title>
          <c:tx>
            <c:rich>
              <a:bodyPr/>
              <a:lstStyle/>
              <a:p>
                <a:pPr>
                  <a:defRPr/>
                </a:pPr>
                <a:r>
                  <a:rPr lang="en-ZA"/>
                  <a:t>Tests over 5 years</a:t>
                </a:r>
              </a:p>
            </c:rich>
          </c:tx>
          <c:overlay val="0"/>
        </c:title>
        <c:numFmt formatCode="General" sourceLinked="1"/>
        <c:majorTickMark val="none"/>
        <c:minorTickMark val="none"/>
        <c:tickLblPos val="nextTo"/>
        <c:crossAx val="555384448"/>
        <c:crosses val="autoZero"/>
        <c:auto val="1"/>
        <c:lblAlgn val="ctr"/>
        <c:lblOffset val="100"/>
        <c:noMultiLvlLbl val="0"/>
      </c:catAx>
      <c:valAx>
        <c:axId val="555384448"/>
        <c:scaling>
          <c:orientation val="minMax"/>
          <c:min val="55"/>
        </c:scaling>
        <c:delete val="0"/>
        <c:axPos val="l"/>
        <c:majorGridlines/>
        <c:title>
          <c:tx>
            <c:rich>
              <a:bodyPr/>
              <a:lstStyle/>
              <a:p>
                <a:pPr>
                  <a:defRPr/>
                </a:pPr>
                <a:r>
                  <a:rPr lang="en-ZA"/>
                  <a:t>Mean group marks</a:t>
                </a:r>
              </a:p>
            </c:rich>
          </c:tx>
          <c:overlay val="0"/>
        </c:title>
        <c:numFmt formatCode="General" sourceLinked="1"/>
        <c:majorTickMark val="none"/>
        <c:minorTickMark val="none"/>
        <c:tickLblPos val="nextTo"/>
        <c:crossAx val="555384056"/>
        <c:crosses val="autoZero"/>
        <c:crossBetween val="between"/>
      </c:valAx>
    </c:plotArea>
    <c:legend>
      <c:legendPos val="r"/>
      <c:layout>
        <c:manualLayout>
          <c:xMode val="edge"/>
          <c:yMode val="edge"/>
          <c:x val="0.82270822397200349"/>
          <c:y val="0.48798410615339755"/>
          <c:w val="0.17729177602799651"/>
          <c:h val="0.16743438320209975"/>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ZA"/>
              <a:t>Assessment marks according to financial support</a:t>
            </a:r>
          </a:p>
        </c:rich>
      </c:tx>
      <c:overlay val="0"/>
    </c:title>
    <c:autoTitleDeleted val="0"/>
    <c:plotArea>
      <c:layout>
        <c:manualLayout>
          <c:layoutTarget val="inner"/>
          <c:xMode val="edge"/>
          <c:yMode val="edge"/>
          <c:x val="0.13228018372703412"/>
          <c:y val="0.24098388743073781"/>
          <c:w val="0.65191426071741032"/>
          <c:h val="0.60864173228346452"/>
        </c:manualLayout>
      </c:layout>
      <c:lineChart>
        <c:grouping val="standard"/>
        <c:varyColors val="0"/>
        <c:ser>
          <c:idx val="0"/>
          <c:order val="0"/>
          <c:tx>
            <c:strRef>
              <c:f>'Graphs (2)'!$A$413</c:f>
              <c:strCache>
                <c:ptCount val="1"/>
                <c:pt idx="0">
                  <c:v>Nil</c:v>
                </c:pt>
              </c:strCache>
            </c:strRef>
          </c:tx>
          <c:spPr>
            <a:ln w="38100"/>
          </c:spPr>
          <c:marker>
            <c:symbol val="none"/>
          </c:marker>
          <c:cat>
            <c:numRef>
              <c:f>'Graphs (2)'!$B$412:$AG$412</c:f>
              <c:numCache>
                <c:formatCode>General</c:formatCode>
                <c:ptCount val="32"/>
                <c:pt idx="0">
                  <c:v>1.1000000000000001</c:v>
                </c:pt>
                <c:pt idx="1">
                  <c:v>1.2</c:v>
                </c:pt>
                <c:pt idx="2">
                  <c:v>1.3</c:v>
                </c:pt>
                <c:pt idx="3">
                  <c:v>1.4</c:v>
                </c:pt>
                <c:pt idx="4">
                  <c:v>1.5</c:v>
                </c:pt>
                <c:pt idx="5">
                  <c:v>1.6</c:v>
                </c:pt>
                <c:pt idx="6">
                  <c:v>2.1</c:v>
                </c:pt>
                <c:pt idx="7">
                  <c:v>2.2000000000000002</c:v>
                </c:pt>
                <c:pt idx="8">
                  <c:v>2.2999999999999998</c:v>
                </c:pt>
                <c:pt idx="9">
                  <c:v>2.4</c:v>
                </c:pt>
                <c:pt idx="10">
                  <c:v>2.5</c:v>
                </c:pt>
                <c:pt idx="11">
                  <c:v>2.6</c:v>
                </c:pt>
                <c:pt idx="12">
                  <c:v>3.1</c:v>
                </c:pt>
                <c:pt idx="13">
                  <c:v>3.2</c:v>
                </c:pt>
                <c:pt idx="14">
                  <c:v>3.3</c:v>
                </c:pt>
                <c:pt idx="15">
                  <c:v>3.4</c:v>
                </c:pt>
                <c:pt idx="16">
                  <c:v>3.5</c:v>
                </c:pt>
                <c:pt idx="17">
                  <c:v>3.6</c:v>
                </c:pt>
                <c:pt idx="18">
                  <c:v>4.0999999999999996</c:v>
                </c:pt>
                <c:pt idx="19">
                  <c:v>4.2</c:v>
                </c:pt>
                <c:pt idx="20">
                  <c:v>4.3</c:v>
                </c:pt>
                <c:pt idx="21">
                  <c:v>4.4000000000000004</c:v>
                </c:pt>
                <c:pt idx="22">
                  <c:v>4.5</c:v>
                </c:pt>
                <c:pt idx="23">
                  <c:v>4.5999999999999996</c:v>
                </c:pt>
                <c:pt idx="24">
                  <c:v>4.7</c:v>
                </c:pt>
                <c:pt idx="25">
                  <c:v>4.8</c:v>
                </c:pt>
                <c:pt idx="26">
                  <c:v>5.0999999999999996</c:v>
                </c:pt>
                <c:pt idx="27">
                  <c:v>5.2</c:v>
                </c:pt>
                <c:pt idx="28">
                  <c:v>5.3</c:v>
                </c:pt>
                <c:pt idx="29">
                  <c:v>5.4</c:v>
                </c:pt>
                <c:pt idx="30">
                  <c:v>5.5</c:v>
                </c:pt>
                <c:pt idx="31">
                  <c:v>5.6</c:v>
                </c:pt>
              </c:numCache>
            </c:numRef>
          </c:cat>
          <c:val>
            <c:numRef>
              <c:f>'Graphs (2)'!$B$413:$AG$413</c:f>
              <c:numCache>
                <c:formatCode>General</c:formatCode>
                <c:ptCount val="32"/>
                <c:pt idx="0">
                  <c:v>63.454838709677418</c:v>
                </c:pt>
                <c:pt idx="1">
                  <c:v>60.810752688172059</c:v>
                </c:pt>
                <c:pt idx="2">
                  <c:v>65.297849462365576</c:v>
                </c:pt>
                <c:pt idx="3">
                  <c:v>68.086734693877574</c:v>
                </c:pt>
                <c:pt idx="4">
                  <c:v>66.458163265306126</c:v>
                </c:pt>
                <c:pt idx="5">
                  <c:v>64.156122448979602</c:v>
                </c:pt>
                <c:pt idx="6">
                  <c:v>57.873684210526328</c:v>
                </c:pt>
                <c:pt idx="7">
                  <c:v>65.573684210526338</c:v>
                </c:pt>
                <c:pt idx="8">
                  <c:v>62.493684210526304</c:v>
                </c:pt>
                <c:pt idx="9">
                  <c:v>54.634375000000013</c:v>
                </c:pt>
                <c:pt idx="10">
                  <c:v>61.065263157894762</c:v>
                </c:pt>
                <c:pt idx="11">
                  <c:v>62.631578947368418</c:v>
                </c:pt>
                <c:pt idx="12">
                  <c:v>58.942553191489338</c:v>
                </c:pt>
                <c:pt idx="13">
                  <c:v>56.647872340425515</c:v>
                </c:pt>
                <c:pt idx="14">
                  <c:v>61.562765957446793</c:v>
                </c:pt>
                <c:pt idx="15">
                  <c:v>60.070786516853921</c:v>
                </c:pt>
                <c:pt idx="16">
                  <c:v>61.162921348314576</c:v>
                </c:pt>
                <c:pt idx="17">
                  <c:v>62.842696629213471</c:v>
                </c:pt>
                <c:pt idx="18">
                  <c:v>62.34473684210527</c:v>
                </c:pt>
                <c:pt idx="19">
                  <c:v>61.220779220779221</c:v>
                </c:pt>
                <c:pt idx="20">
                  <c:v>60.290909090909096</c:v>
                </c:pt>
                <c:pt idx="21">
                  <c:v>71.658441558441552</c:v>
                </c:pt>
                <c:pt idx="22">
                  <c:v>64.552631578947356</c:v>
                </c:pt>
                <c:pt idx="23">
                  <c:v>62.896103896103895</c:v>
                </c:pt>
                <c:pt idx="24">
                  <c:v>64.225974025974054</c:v>
                </c:pt>
                <c:pt idx="25">
                  <c:v>63.276315789473685</c:v>
                </c:pt>
                <c:pt idx="26">
                  <c:v>66.97014925373135</c:v>
                </c:pt>
                <c:pt idx="27">
                  <c:v>65.328358208955223</c:v>
                </c:pt>
                <c:pt idx="28">
                  <c:v>67.545454545454547</c:v>
                </c:pt>
                <c:pt idx="29">
                  <c:v>63.92537313432836</c:v>
                </c:pt>
                <c:pt idx="30">
                  <c:v>63.044776119402982</c:v>
                </c:pt>
                <c:pt idx="31">
                  <c:v>61.865671641791046</c:v>
                </c:pt>
              </c:numCache>
            </c:numRef>
          </c:val>
          <c:smooth val="0"/>
          <c:extLst>
            <c:ext xmlns:c16="http://schemas.microsoft.com/office/drawing/2014/chart" uri="{C3380CC4-5D6E-409C-BE32-E72D297353CC}">
              <c16:uniqueId val="{00000000-08BB-4056-B51E-7DD8A82C8366}"/>
            </c:ext>
          </c:extLst>
        </c:ser>
        <c:ser>
          <c:idx val="1"/>
          <c:order val="1"/>
          <c:tx>
            <c:strRef>
              <c:f>'Graphs (2)'!$A$414</c:f>
              <c:strCache>
                <c:ptCount val="1"/>
                <c:pt idx="0">
                  <c:v>Bur/Schol</c:v>
                </c:pt>
              </c:strCache>
            </c:strRef>
          </c:tx>
          <c:spPr>
            <a:ln w="38100"/>
          </c:spPr>
          <c:marker>
            <c:symbol val="none"/>
          </c:marker>
          <c:cat>
            <c:numRef>
              <c:f>'Graphs (2)'!$B$412:$AG$412</c:f>
              <c:numCache>
                <c:formatCode>General</c:formatCode>
                <c:ptCount val="32"/>
                <c:pt idx="0">
                  <c:v>1.1000000000000001</c:v>
                </c:pt>
                <c:pt idx="1">
                  <c:v>1.2</c:v>
                </c:pt>
                <c:pt idx="2">
                  <c:v>1.3</c:v>
                </c:pt>
                <c:pt idx="3">
                  <c:v>1.4</c:v>
                </c:pt>
                <c:pt idx="4">
                  <c:v>1.5</c:v>
                </c:pt>
                <c:pt idx="5">
                  <c:v>1.6</c:v>
                </c:pt>
                <c:pt idx="6">
                  <c:v>2.1</c:v>
                </c:pt>
                <c:pt idx="7">
                  <c:v>2.2000000000000002</c:v>
                </c:pt>
                <c:pt idx="8">
                  <c:v>2.2999999999999998</c:v>
                </c:pt>
                <c:pt idx="9">
                  <c:v>2.4</c:v>
                </c:pt>
                <c:pt idx="10">
                  <c:v>2.5</c:v>
                </c:pt>
                <c:pt idx="11">
                  <c:v>2.6</c:v>
                </c:pt>
                <c:pt idx="12">
                  <c:v>3.1</c:v>
                </c:pt>
                <c:pt idx="13">
                  <c:v>3.2</c:v>
                </c:pt>
                <c:pt idx="14">
                  <c:v>3.3</c:v>
                </c:pt>
                <c:pt idx="15">
                  <c:v>3.4</c:v>
                </c:pt>
                <c:pt idx="16">
                  <c:v>3.5</c:v>
                </c:pt>
                <c:pt idx="17">
                  <c:v>3.6</c:v>
                </c:pt>
                <c:pt idx="18">
                  <c:v>4.0999999999999996</c:v>
                </c:pt>
                <c:pt idx="19">
                  <c:v>4.2</c:v>
                </c:pt>
                <c:pt idx="20">
                  <c:v>4.3</c:v>
                </c:pt>
                <c:pt idx="21">
                  <c:v>4.4000000000000004</c:v>
                </c:pt>
                <c:pt idx="22">
                  <c:v>4.5</c:v>
                </c:pt>
                <c:pt idx="23">
                  <c:v>4.5999999999999996</c:v>
                </c:pt>
                <c:pt idx="24">
                  <c:v>4.7</c:v>
                </c:pt>
                <c:pt idx="25">
                  <c:v>4.8</c:v>
                </c:pt>
                <c:pt idx="26">
                  <c:v>5.0999999999999996</c:v>
                </c:pt>
                <c:pt idx="27">
                  <c:v>5.2</c:v>
                </c:pt>
                <c:pt idx="28">
                  <c:v>5.3</c:v>
                </c:pt>
                <c:pt idx="29">
                  <c:v>5.4</c:v>
                </c:pt>
                <c:pt idx="30">
                  <c:v>5.5</c:v>
                </c:pt>
                <c:pt idx="31">
                  <c:v>5.6</c:v>
                </c:pt>
              </c:numCache>
            </c:numRef>
          </c:cat>
          <c:val>
            <c:numRef>
              <c:f>'Graphs (2)'!$B$414:$AG$414</c:f>
              <c:numCache>
                <c:formatCode>General</c:formatCode>
                <c:ptCount val="32"/>
                <c:pt idx="0">
                  <c:v>63.841176470588216</c:v>
                </c:pt>
                <c:pt idx="1">
                  <c:v>61.662352941176472</c:v>
                </c:pt>
                <c:pt idx="2">
                  <c:v>64.77294117647061</c:v>
                </c:pt>
                <c:pt idx="3">
                  <c:v>67.821176470588242</c:v>
                </c:pt>
                <c:pt idx="4">
                  <c:v>68.165882352941225</c:v>
                </c:pt>
                <c:pt idx="5">
                  <c:v>65.288235294117655</c:v>
                </c:pt>
                <c:pt idx="6">
                  <c:v>62.748192771084341</c:v>
                </c:pt>
                <c:pt idx="7">
                  <c:v>66.56626506024098</c:v>
                </c:pt>
                <c:pt idx="8">
                  <c:v>63.298795180722884</c:v>
                </c:pt>
                <c:pt idx="9">
                  <c:v>54.987951807228917</c:v>
                </c:pt>
                <c:pt idx="10">
                  <c:v>63.603614457831306</c:v>
                </c:pt>
                <c:pt idx="11">
                  <c:v>64.108433734939766</c:v>
                </c:pt>
                <c:pt idx="12">
                  <c:v>62.096341463414639</c:v>
                </c:pt>
                <c:pt idx="13">
                  <c:v>59.856097560975606</c:v>
                </c:pt>
                <c:pt idx="14">
                  <c:v>67.483750000000001</c:v>
                </c:pt>
                <c:pt idx="15">
                  <c:v>64.018518518518519</c:v>
                </c:pt>
                <c:pt idx="16">
                  <c:v>65.272839506172815</c:v>
                </c:pt>
                <c:pt idx="17">
                  <c:v>67.690123456790104</c:v>
                </c:pt>
                <c:pt idx="18">
                  <c:v>66.394444444444446</c:v>
                </c:pt>
                <c:pt idx="19">
                  <c:v>64.791666666666671</c:v>
                </c:pt>
                <c:pt idx="20">
                  <c:v>64.99444444444444</c:v>
                </c:pt>
                <c:pt idx="21">
                  <c:v>76.570833333333326</c:v>
                </c:pt>
                <c:pt idx="22">
                  <c:v>65.900000000000006</c:v>
                </c:pt>
                <c:pt idx="23">
                  <c:v>64.555555555555557</c:v>
                </c:pt>
                <c:pt idx="24">
                  <c:v>66.288888888888877</c:v>
                </c:pt>
                <c:pt idx="25">
                  <c:v>66.486111111111114</c:v>
                </c:pt>
                <c:pt idx="26">
                  <c:v>68.013888888888886</c:v>
                </c:pt>
                <c:pt idx="27">
                  <c:v>69.027777777777771</c:v>
                </c:pt>
                <c:pt idx="28">
                  <c:v>71.083333333333329</c:v>
                </c:pt>
                <c:pt idx="29">
                  <c:v>65.236111111111114</c:v>
                </c:pt>
                <c:pt idx="30">
                  <c:v>65.097222222222229</c:v>
                </c:pt>
                <c:pt idx="31">
                  <c:v>65.847222222222229</c:v>
                </c:pt>
              </c:numCache>
            </c:numRef>
          </c:val>
          <c:smooth val="0"/>
          <c:extLst>
            <c:ext xmlns:c16="http://schemas.microsoft.com/office/drawing/2014/chart" uri="{C3380CC4-5D6E-409C-BE32-E72D297353CC}">
              <c16:uniqueId val="{00000001-08BB-4056-B51E-7DD8A82C8366}"/>
            </c:ext>
          </c:extLst>
        </c:ser>
        <c:ser>
          <c:idx val="2"/>
          <c:order val="2"/>
          <c:tx>
            <c:strRef>
              <c:f>'Graphs (2)'!$A$415</c:f>
              <c:strCache>
                <c:ptCount val="1"/>
                <c:pt idx="0">
                  <c:v>NSFAS</c:v>
                </c:pt>
              </c:strCache>
            </c:strRef>
          </c:tx>
          <c:spPr>
            <a:ln w="38100">
              <a:solidFill>
                <a:srgbClr val="00B050"/>
              </a:solidFill>
            </a:ln>
          </c:spPr>
          <c:marker>
            <c:symbol val="none"/>
          </c:marker>
          <c:cat>
            <c:numRef>
              <c:f>'Graphs (2)'!$B$412:$AG$412</c:f>
              <c:numCache>
                <c:formatCode>General</c:formatCode>
                <c:ptCount val="32"/>
                <c:pt idx="0">
                  <c:v>1.1000000000000001</c:v>
                </c:pt>
                <c:pt idx="1">
                  <c:v>1.2</c:v>
                </c:pt>
                <c:pt idx="2">
                  <c:v>1.3</c:v>
                </c:pt>
                <c:pt idx="3">
                  <c:v>1.4</c:v>
                </c:pt>
                <c:pt idx="4">
                  <c:v>1.5</c:v>
                </c:pt>
                <c:pt idx="5">
                  <c:v>1.6</c:v>
                </c:pt>
                <c:pt idx="6">
                  <c:v>2.1</c:v>
                </c:pt>
                <c:pt idx="7">
                  <c:v>2.2000000000000002</c:v>
                </c:pt>
                <c:pt idx="8">
                  <c:v>2.2999999999999998</c:v>
                </c:pt>
                <c:pt idx="9">
                  <c:v>2.4</c:v>
                </c:pt>
                <c:pt idx="10">
                  <c:v>2.5</c:v>
                </c:pt>
                <c:pt idx="11">
                  <c:v>2.6</c:v>
                </c:pt>
                <c:pt idx="12">
                  <c:v>3.1</c:v>
                </c:pt>
                <c:pt idx="13">
                  <c:v>3.2</c:v>
                </c:pt>
                <c:pt idx="14">
                  <c:v>3.3</c:v>
                </c:pt>
                <c:pt idx="15">
                  <c:v>3.4</c:v>
                </c:pt>
                <c:pt idx="16">
                  <c:v>3.5</c:v>
                </c:pt>
                <c:pt idx="17">
                  <c:v>3.6</c:v>
                </c:pt>
                <c:pt idx="18">
                  <c:v>4.0999999999999996</c:v>
                </c:pt>
                <c:pt idx="19">
                  <c:v>4.2</c:v>
                </c:pt>
                <c:pt idx="20">
                  <c:v>4.3</c:v>
                </c:pt>
                <c:pt idx="21">
                  <c:v>4.4000000000000004</c:v>
                </c:pt>
                <c:pt idx="22">
                  <c:v>4.5</c:v>
                </c:pt>
                <c:pt idx="23">
                  <c:v>4.5999999999999996</c:v>
                </c:pt>
                <c:pt idx="24">
                  <c:v>4.7</c:v>
                </c:pt>
                <c:pt idx="25">
                  <c:v>4.8</c:v>
                </c:pt>
                <c:pt idx="26">
                  <c:v>5.0999999999999996</c:v>
                </c:pt>
                <c:pt idx="27">
                  <c:v>5.2</c:v>
                </c:pt>
                <c:pt idx="28">
                  <c:v>5.3</c:v>
                </c:pt>
                <c:pt idx="29">
                  <c:v>5.4</c:v>
                </c:pt>
                <c:pt idx="30">
                  <c:v>5.5</c:v>
                </c:pt>
                <c:pt idx="31">
                  <c:v>5.6</c:v>
                </c:pt>
              </c:numCache>
            </c:numRef>
          </c:cat>
          <c:val>
            <c:numRef>
              <c:f>'Graphs (2)'!$B$415:$AG$415</c:f>
              <c:numCache>
                <c:formatCode>General</c:formatCode>
                <c:ptCount val="32"/>
                <c:pt idx="0">
                  <c:v>51.773684210526319</c:v>
                </c:pt>
                <c:pt idx="1">
                  <c:v>48.89473684210526</c:v>
                </c:pt>
                <c:pt idx="2">
                  <c:v>54.9</c:v>
                </c:pt>
                <c:pt idx="3">
                  <c:v>59.494736842105283</c:v>
                </c:pt>
                <c:pt idx="4">
                  <c:v>56.878947368421052</c:v>
                </c:pt>
                <c:pt idx="5">
                  <c:v>52.673684210526318</c:v>
                </c:pt>
                <c:pt idx="6">
                  <c:v>53.206249999999997</c:v>
                </c:pt>
                <c:pt idx="7">
                  <c:v>58.737499999999997</c:v>
                </c:pt>
                <c:pt idx="8">
                  <c:v>58.2</c:v>
                </c:pt>
                <c:pt idx="9">
                  <c:v>51.807142857142857</c:v>
                </c:pt>
                <c:pt idx="10">
                  <c:v>57.378571428571426</c:v>
                </c:pt>
                <c:pt idx="11">
                  <c:v>57.5</c:v>
                </c:pt>
                <c:pt idx="12">
                  <c:v>49.421428571428571</c:v>
                </c:pt>
                <c:pt idx="13">
                  <c:v>51.31428571428571</c:v>
                </c:pt>
                <c:pt idx="14">
                  <c:v>54.228571428571442</c:v>
                </c:pt>
                <c:pt idx="15">
                  <c:v>55.358333333333327</c:v>
                </c:pt>
                <c:pt idx="16">
                  <c:v>53.766666666666673</c:v>
                </c:pt>
                <c:pt idx="17">
                  <c:v>58.375</c:v>
                </c:pt>
                <c:pt idx="18">
                  <c:v>58.760000000000005</c:v>
                </c:pt>
                <c:pt idx="19">
                  <c:v>59.7</c:v>
                </c:pt>
                <c:pt idx="20">
                  <c:v>56.659999999999989</c:v>
                </c:pt>
                <c:pt idx="21">
                  <c:v>69.11</c:v>
                </c:pt>
                <c:pt idx="22">
                  <c:v>62.140000000000008</c:v>
                </c:pt>
                <c:pt idx="23">
                  <c:v>59.1</c:v>
                </c:pt>
                <c:pt idx="24">
                  <c:v>61.46</c:v>
                </c:pt>
                <c:pt idx="25">
                  <c:v>57.4</c:v>
                </c:pt>
                <c:pt idx="26">
                  <c:v>66</c:v>
                </c:pt>
                <c:pt idx="27">
                  <c:v>63.714285714285715</c:v>
                </c:pt>
                <c:pt idx="28">
                  <c:v>66.857142857142861</c:v>
                </c:pt>
                <c:pt idx="29">
                  <c:v>63.571428571428569</c:v>
                </c:pt>
                <c:pt idx="30">
                  <c:v>62.142857142857146</c:v>
                </c:pt>
                <c:pt idx="31">
                  <c:v>58.571428571428569</c:v>
                </c:pt>
              </c:numCache>
            </c:numRef>
          </c:val>
          <c:smooth val="0"/>
          <c:extLst>
            <c:ext xmlns:c16="http://schemas.microsoft.com/office/drawing/2014/chart" uri="{C3380CC4-5D6E-409C-BE32-E72D297353CC}">
              <c16:uniqueId val="{00000002-08BB-4056-B51E-7DD8A82C8366}"/>
            </c:ext>
          </c:extLst>
        </c:ser>
        <c:dLbls>
          <c:showLegendKey val="0"/>
          <c:showVal val="0"/>
          <c:showCatName val="0"/>
          <c:showSerName val="0"/>
          <c:showPercent val="0"/>
          <c:showBubbleSize val="0"/>
        </c:dLbls>
        <c:smooth val="0"/>
        <c:axId val="555056792"/>
        <c:axId val="555057184"/>
      </c:lineChart>
      <c:catAx>
        <c:axId val="555056792"/>
        <c:scaling>
          <c:orientation val="minMax"/>
        </c:scaling>
        <c:delete val="0"/>
        <c:axPos val="b"/>
        <c:title>
          <c:tx>
            <c:rich>
              <a:bodyPr/>
              <a:lstStyle/>
              <a:p>
                <a:pPr>
                  <a:defRPr/>
                </a:pPr>
                <a:r>
                  <a:rPr lang="en-ZA"/>
                  <a:t>Tests over 5 years</a:t>
                </a:r>
              </a:p>
            </c:rich>
          </c:tx>
          <c:overlay val="0"/>
        </c:title>
        <c:numFmt formatCode="General" sourceLinked="1"/>
        <c:majorTickMark val="none"/>
        <c:minorTickMark val="none"/>
        <c:tickLblPos val="nextTo"/>
        <c:crossAx val="555057184"/>
        <c:crosses val="autoZero"/>
        <c:auto val="1"/>
        <c:lblAlgn val="ctr"/>
        <c:lblOffset val="100"/>
        <c:noMultiLvlLbl val="0"/>
      </c:catAx>
      <c:valAx>
        <c:axId val="555057184"/>
        <c:scaling>
          <c:orientation val="minMax"/>
          <c:max val="80"/>
          <c:min val="45"/>
        </c:scaling>
        <c:delete val="0"/>
        <c:axPos val="l"/>
        <c:majorGridlines/>
        <c:title>
          <c:tx>
            <c:rich>
              <a:bodyPr/>
              <a:lstStyle/>
              <a:p>
                <a:pPr>
                  <a:defRPr/>
                </a:pPr>
                <a:r>
                  <a:rPr lang="en-ZA"/>
                  <a:t>Mean group marks</a:t>
                </a:r>
              </a:p>
            </c:rich>
          </c:tx>
          <c:layout>
            <c:manualLayout>
              <c:xMode val="edge"/>
              <c:yMode val="edge"/>
              <c:x val="2.2222222222222223E-2"/>
              <c:y val="0.34991105278506857"/>
            </c:manualLayout>
          </c:layout>
          <c:overlay val="0"/>
        </c:title>
        <c:numFmt formatCode="General" sourceLinked="1"/>
        <c:majorTickMark val="none"/>
        <c:minorTickMark val="none"/>
        <c:tickLblPos val="nextTo"/>
        <c:crossAx val="555056792"/>
        <c:crosses val="autoZero"/>
        <c:crossBetween val="between"/>
      </c:valAx>
    </c:plotArea>
    <c:legend>
      <c:legendPos val="r"/>
      <c:overlay val="0"/>
    </c:legend>
    <c:plotVisOnly val="1"/>
    <c:dispBlanksAs val="gap"/>
    <c:showDLblsOverMax val="0"/>
  </c:chart>
  <c:externalData r:id="rId1">
    <c:autoUpdate val="0"/>
  </c:externalData>
</c:chartSpace>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Book Antiqua"/>
            <a:ea typeface="Book Antiqua"/>
            <a:cs typeface="Book Antiqua"/>
            <a:sym typeface="Book Antiqu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18</Pages>
  <Words>4840</Words>
  <Characters>27589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Singaram</dc:creator>
  <cp:lastModifiedBy>Ted Sommerville</cp:lastModifiedBy>
  <cp:revision>8</cp:revision>
  <dcterms:created xsi:type="dcterms:W3CDTF">2017-12-06T09:05:00Z</dcterms:created>
  <dcterms:modified xsi:type="dcterms:W3CDTF">2017-12-09T11:55:00Z</dcterms:modified>
</cp:coreProperties>
</file>